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2766B">
      <w:pPr>
        <w:jc w:val="center"/>
        <w:rPr>
          <w:rFonts w:hint="eastAsia" w:ascii="宋体" w:hAnsi="宋体" w:eastAsia="宋体"/>
          <w:b/>
          <w:bCs/>
          <w:sz w:val="32"/>
          <w:szCs w:val="32"/>
          <w:highlight w:val="none"/>
          <w:lang w:val="en-US" w:eastAsia="zh-CN"/>
        </w:rPr>
      </w:pPr>
      <w:r>
        <w:rPr>
          <w:rFonts w:hint="eastAsia" w:ascii="宋体" w:hAnsi="宋体" w:eastAsia="宋体"/>
          <w:b/>
          <w:bCs/>
          <w:sz w:val="32"/>
          <w:szCs w:val="32"/>
          <w:highlight w:val="none"/>
          <w:lang w:val="en-US" w:eastAsia="zh-CN"/>
        </w:rPr>
        <w:t>支持工匠班计划——新能源汽车技术</w:t>
      </w:r>
    </w:p>
    <w:p w14:paraId="756C4A01">
      <w:pPr>
        <w:jc w:val="center"/>
        <w:rPr>
          <w:rFonts w:ascii="宋体" w:hAnsi="宋体" w:eastAsia="宋体"/>
          <w:b/>
          <w:bCs/>
          <w:sz w:val="32"/>
          <w:szCs w:val="32"/>
          <w:highlight w:val="none"/>
        </w:rPr>
      </w:pPr>
      <w:r>
        <w:rPr>
          <w:rFonts w:hint="eastAsia" w:ascii="宋体" w:hAnsi="宋体" w:eastAsia="宋体"/>
          <w:b/>
          <w:bCs/>
          <w:sz w:val="32"/>
          <w:szCs w:val="32"/>
          <w:highlight w:val="none"/>
          <w:lang w:eastAsia="zh-CN"/>
        </w:rPr>
        <w:t>《</w:t>
      </w:r>
      <w:r>
        <w:rPr>
          <w:rFonts w:hint="eastAsia" w:ascii="宋体" w:hAnsi="宋体" w:eastAsia="宋体"/>
          <w:b/>
          <w:bCs/>
          <w:sz w:val="32"/>
          <w:szCs w:val="32"/>
          <w:highlight w:val="none"/>
        </w:rPr>
        <w:t>新能源汽车故障诊断技术</w:t>
      </w:r>
      <w:r>
        <w:rPr>
          <w:rFonts w:hint="eastAsia" w:ascii="宋体" w:hAnsi="宋体" w:eastAsia="宋体"/>
          <w:b/>
          <w:bCs/>
          <w:sz w:val="32"/>
          <w:szCs w:val="32"/>
          <w:highlight w:val="none"/>
          <w:lang w:eastAsia="zh-CN"/>
        </w:rPr>
        <w:t>》</w:t>
      </w:r>
      <w:r>
        <w:rPr>
          <w:rFonts w:hint="eastAsia" w:ascii="宋体" w:hAnsi="宋体" w:eastAsia="宋体"/>
          <w:b/>
          <w:bCs/>
          <w:sz w:val="32"/>
          <w:szCs w:val="32"/>
          <w:highlight w:val="none"/>
          <w:lang w:val="en-US" w:eastAsia="zh-CN"/>
        </w:rPr>
        <w:t>核心</w:t>
      </w:r>
      <w:r>
        <w:rPr>
          <w:rFonts w:hint="eastAsia" w:ascii="宋体" w:hAnsi="宋体" w:eastAsia="宋体"/>
          <w:b/>
          <w:bCs/>
          <w:sz w:val="32"/>
          <w:szCs w:val="32"/>
          <w:highlight w:val="none"/>
        </w:rPr>
        <w:t>课程</w:t>
      </w:r>
      <w:r>
        <w:rPr>
          <w:rFonts w:ascii="宋体" w:hAnsi="宋体" w:eastAsia="宋体"/>
          <w:b/>
          <w:bCs/>
          <w:sz w:val="32"/>
          <w:szCs w:val="32"/>
          <w:highlight w:val="none"/>
        </w:rPr>
        <w:t>建设</w:t>
      </w:r>
    </w:p>
    <w:p w14:paraId="537E6AD0">
      <w:pPr>
        <w:jc w:val="center"/>
        <w:rPr>
          <w:rFonts w:ascii="宋体" w:hAnsi="宋体" w:eastAsia="宋体"/>
          <w:b/>
          <w:bCs/>
          <w:sz w:val="32"/>
          <w:szCs w:val="32"/>
          <w:highlight w:val="none"/>
        </w:rPr>
      </w:pPr>
      <w:r>
        <w:rPr>
          <w:rFonts w:hint="eastAsia" w:ascii="宋体" w:hAnsi="宋体" w:eastAsia="宋体"/>
          <w:b/>
          <w:bCs/>
          <w:sz w:val="32"/>
          <w:szCs w:val="32"/>
          <w:highlight w:val="none"/>
        </w:rPr>
        <w:t>服务采购需求参数</w:t>
      </w:r>
    </w:p>
    <w:p w14:paraId="0C6496CA">
      <w:pPr>
        <w:rPr>
          <w:rFonts w:ascii="宋体" w:hAnsi="宋体" w:eastAsia="宋体"/>
          <w:szCs w:val="21"/>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75"/>
        <w:gridCol w:w="6033"/>
      </w:tblGrid>
      <w:tr w14:paraId="18C5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88" w:type="dxa"/>
            <w:vAlign w:val="center"/>
          </w:tcPr>
          <w:p w14:paraId="56057ABB">
            <w:pPr>
              <w:jc w:val="center"/>
              <w:rPr>
                <w:rFonts w:hint="eastAsia" w:ascii="宋体" w:hAnsi="宋体" w:eastAsia="宋体"/>
                <w:b/>
                <w:bCs/>
                <w:szCs w:val="21"/>
                <w:highlight w:val="none"/>
              </w:rPr>
            </w:pPr>
            <w:r>
              <w:rPr>
                <w:rFonts w:hint="eastAsia" w:ascii="宋体" w:hAnsi="宋体" w:eastAsia="宋体"/>
                <w:b/>
                <w:bCs/>
                <w:szCs w:val="21"/>
                <w:highlight w:val="none"/>
              </w:rPr>
              <w:t>序号</w:t>
            </w:r>
          </w:p>
        </w:tc>
        <w:tc>
          <w:tcPr>
            <w:tcW w:w="1275" w:type="dxa"/>
            <w:vAlign w:val="center"/>
          </w:tcPr>
          <w:p w14:paraId="2B422A48">
            <w:pPr>
              <w:jc w:val="center"/>
              <w:rPr>
                <w:rFonts w:hint="eastAsia" w:ascii="宋体" w:hAnsi="宋体" w:eastAsia="宋体"/>
                <w:b/>
                <w:bCs/>
                <w:szCs w:val="21"/>
                <w:highlight w:val="none"/>
              </w:rPr>
            </w:pPr>
            <w:r>
              <w:rPr>
                <w:rFonts w:hint="eastAsia" w:ascii="宋体" w:hAnsi="宋体" w:eastAsia="宋体"/>
                <w:b/>
                <w:bCs/>
                <w:szCs w:val="21"/>
                <w:highlight w:val="none"/>
              </w:rPr>
              <w:t>服务内容</w:t>
            </w:r>
          </w:p>
        </w:tc>
        <w:tc>
          <w:tcPr>
            <w:tcW w:w="6033" w:type="dxa"/>
            <w:vAlign w:val="center"/>
          </w:tcPr>
          <w:p w14:paraId="245CD789">
            <w:pPr>
              <w:jc w:val="center"/>
              <w:rPr>
                <w:rFonts w:hint="eastAsia" w:ascii="宋体" w:hAnsi="宋体" w:eastAsia="宋体"/>
                <w:b/>
                <w:bCs/>
                <w:szCs w:val="21"/>
                <w:highlight w:val="none"/>
              </w:rPr>
            </w:pPr>
            <w:r>
              <w:rPr>
                <w:rFonts w:hint="eastAsia" w:ascii="宋体" w:hAnsi="宋体" w:eastAsia="宋体"/>
                <w:b/>
                <w:bCs/>
                <w:szCs w:val="21"/>
                <w:highlight w:val="none"/>
              </w:rPr>
              <w:t>服务需求参数</w:t>
            </w:r>
          </w:p>
        </w:tc>
      </w:tr>
      <w:tr w14:paraId="3D7D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988" w:type="dxa"/>
            <w:vAlign w:val="center"/>
          </w:tcPr>
          <w:p w14:paraId="69BD9030">
            <w:pPr>
              <w:jc w:val="center"/>
              <w:rPr>
                <w:rFonts w:hint="eastAsia" w:ascii="宋体" w:hAnsi="宋体" w:eastAsia="宋体"/>
                <w:szCs w:val="21"/>
                <w:highlight w:val="none"/>
              </w:rPr>
            </w:pPr>
            <w:r>
              <w:rPr>
                <w:rFonts w:hint="eastAsia" w:ascii="宋体" w:hAnsi="宋体" w:eastAsia="宋体"/>
                <w:szCs w:val="21"/>
                <w:highlight w:val="none"/>
              </w:rPr>
              <w:t>1</w:t>
            </w:r>
          </w:p>
        </w:tc>
        <w:tc>
          <w:tcPr>
            <w:tcW w:w="1275" w:type="dxa"/>
            <w:vAlign w:val="center"/>
          </w:tcPr>
          <w:p w14:paraId="28517A73">
            <w:pPr>
              <w:jc w:val="center"/>
              <w:rPr>
                <w:rFonts w:hint="eastAsia" w:ascii="宋体" w:hAnsi="宋体" w:eastAsia="宋体"/>
                <w:szCs w:val="21"/>
                <w:highlight w:val="none"/>
              </w:rPr>
            </w:pPr>
            <w:r>
              <w:rPr>
                <w:rFonts w:hint="eastAsia" w:ascii="宋体" w:hAnsi="宋体" w:eastAsia="宋体"/>
                <w:szCs w:val="21"/>
                <w:highlight w:val="none"/>
              </w:rPr>
              <w:t>课程数量及时长</w:t>
            </w:r>
          </w:p>
        </w:tc>
        <w:tc>
          <w:tcPr>
            <w:tcW w:w="6033" w:type="dxa"/>
          </w:tcPr>
          <w:p w14:paraId="43E17EAF">
            <w:pPr>
              <w:spacing w:line="360" w:lineRule="auto"/>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课程门数：</w:t>
            </w:r>
            <w:r>
              <w:rPr>
                <w:rFonts w:hint="eastAsia" w:ascii="宋体" w:hAnsi="宋体" w:eastAsia="宋体"/>
                <w:szCs w:val="21"/>
                <w:highlight w:val="none"/>
                <w:lang w:val="en-US" w:eastAsia="zh-CN"/>
              </w:rPr>
              <w:t>1</w:t>
            </w:r>
            <w:r>
              <w:rPr>
                <w:rFonts w:hint="eastAsia" w:ascii="宋体" w:hAnsi="宋体" w:eastAsia="宋体"/>
                <w:szCs w:val="21"/>
                <w:highlight w:val="none"/>
              </w:rPr>
              <w:t>门</w:t>
            </w:r>
          </w:p>
          <w:p w14:paraId="5A088325">
            <w:pPr>
              <w:spacing w:line="360" w:lineRule="auto"/>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课程学时数：不少于</w:t>
            </w:r>
            <w:r>
              <w:rPr>
                <w:rFonts w:hint="eastAsia" w:ascii="宋体" w:hAnsi="宋体" w:eastAsia="宋体"/>
                <w:szCs w:val="21"/>
                <w:highlight w:val="none"/>
                <w:lang w:val="en-US" w:eastAsia="zh-CN"/>
              </w:rPr>
              <w:t>56</w:t>
            </w:r>
            <w:r>
              <w:rPr>
                <w:rFonts w:ascii="宋体" w:hAnsi="宋体" w:eastAsia="宋体"/>
                <w:szCs w:val="21"/>
                <w:highlight w:val="none"/>
              </w:rPr>
              <w:t>学时</w:t>
            </w:r>
          </w:p>
          <w:p w14:paraId="1A14F921">
            <w:pPr>
              <w:spacing w:line="360" w:lineRule="auto"/>
              <w:rPr>
                <w:rFonts w:ascii="宋体" w:hAnsi="宋体" w:eastAsia="宋体"/>
                <w:szCs w:val="21"/>
                <w:highlight w:val="none"/>
              </w:rPr>
            </w:pPr>
            <w:r>
              <w:rPr>
                <w:rFonts w:hint="eastAsia" w:ascii="宋体" w:hAnsi="宋体" w:eastAsia="宋体"/>
                <w:szCs w:val="21"/>
                <w:highlight w:val="none"/>
              </w:rPr>
              <w:t>3</w:t>
            </w:r>
            <w:r>
              <w:rPr>
                <w:rFonts w:ascii="宋体" w:hAnsi="宋体" w:eastAsia="宋体"/>
                <w:szCs w:val="21"/>
                <w:highlight w:val="none"/>
              </w:rPr>
              <w:t>.</w:t>
            </w:r>
            <w:r>
              <w:rPr>
                <w:rFonts w:hint="eastAsia" w:ascii="宋体" w:hAnsi="宋体" w:eastAsia="宋体"/>
                <w:szCs w:val="21"/>
                <w:highlight w:val="none"/>
              </w:rPr>
              <w:t>课程视频数：不小于</w:t>
            </w:r>
            <w:r>
              <w:rPr>
                <w:rFonts w:ascii="宋体" w:hAnsi="宋体" w:eastAsia="宋体"/>
                <w:szCs w:val="21"/>
                <w:highlight w:val="none"/>
              </w:rPr>
              <w:t>35个</w:t>
            </w:r>
          </w:p>
          <w:p w14:paraId="7ECC37CE">
            <w:pPr>
              <w:spacing w:line="360" w:lineRule="auto"/>
              <w:rPr>
                <w:rFonts w:ascii="宋体" w:hAnsi="宋体" w:eastAsia="宋体"/>
                <w:szCs w:val="21"/>
                <w:highlight w:val="none"/>
              </w:rPr>
            </w:pPr>
            <w:r>
              <w:rPr>
                <w:rFonts w:hint="eastAsia" w:ascii="宋体" w:hAnsi="宋体" w:eastAsia="宋体"/>
                <w:szCs w:val="21"/>
                <w:highlight w:val="none"/>
              </w:rPr>
              <w:t>4</w:t>
            </w:r>
            <w:r>
              <w:rPr>
                <w:rFonts w:ascii="宋体" w:hAnsi="宋体" w:eastAsia="宋体"/>
                <w:szCs w:val="21"/>
                <w:highlight w:val="none"/>
              </w:rPr>
              <w:t>.</w:t>
            </w:r>
            <w:r>
              <w:rPr>
                <w:rFonts w:hint="eastAsia" w:ascii="宋体" w:hAnsi="宋体" w:eastAsia="宋体"/>
                <w:szCs w:val="21"/>
                <w:highlight w:val="none"/>
              </w:rPr>
              <w:t>课程视频总时长：</w:t>
            </w:r>
            <w:r>
              <w:rPr>
                <w:rFonts w:ascii="宋体" w:hAnsi="宋体" w:eastAsia="宋体"/>
                <w:szCs w:val="21"/>
                <w:highlight w:val="none"/>
              </w:rPr>
              <w:t>不低于400分钟</w:t>
            </w:r>
          </w:p>
          <w:p w14:paraId="26429DA5">
            <w:pPr>
              <w:spacing w:line="360" w:lineRule="auto"/>
              <w:rPr>
                <w:rFonts w:ascii="宋体" w:hAnsi="宋体" w:eastAsia="宋体"/>
                <w:szCs w:val="21"/>
                <w:highlight w:val="none"/>
              </w:rPr>
            </w:pPr>
            <w:r>
              <w:rPr>
                <w:rFonts w:hint="eastAsia" w:ascii="宋体" w:hAnsi="宋体" w:eastAsia="宋体"/>
                <w:szCs w:val="21"/>
                <w:highlight w:val="none"/>
              </w:rPr>
              <w:t>5</w:t>
            </w:r>
            <w:r>
              <w:rPr>
                <w:rFonts w:ascii="宋体" w:hAnsi="宋体" w:eastAsia="宋体"/>
                <w:szCs w:val="21"/>
                <w:highlight w:val="none"/>
              </w:rPr>
              <w:t>.</w:t>
            </w:r>
            <w:r>
              <w:rPr>
                <w:rFonts w:hint="eastAsia" w:ascii="宋体" w:hAnsi="宋体" w:eastAsia="宋体"/>
                <w:szCs w:val="21"/>
                <w:highlight w:val="none"/>
              </w:rPr>
              <w:t>课程介绍片花：制作</w:t>
            </w:r>
            <w:r>
              <w:rPr>
                <w:rFonts w:ascii="宋体" w:hAnsi="宋体" w:eastAsia="宋体"/>
                <w:szCs w:val="21"/>
                <w:highlight w:val="none"/>
              </w:rPr>
              <w:t>1-2分钟</w:t>
            </w:r>
          </w:p>
          <w:p w14:paraId="58D34EAA">
            <w:pPr>
              <w:spacing w:line="360" w:lineRule="auto"/>
              <w:rPr>
                <w:rFonts w:hint="eastAsia" w:ascii="宋体" w:hAnsi="宋体" w:eastAsia="宋体"/>
                <w:szCs w:val="21"/>
                <w:highlight w:val="none"/>
              </w:rPr>
            </w:pPr>
            <w:r>
              <w:rPr>
                <w:rFonts w:hint="eastAsia" w:ascii="宋体" w:hAnsi="宋体" w:eastAsia="宋体"/>
                <w:szCs w:val="21"/>
                <w:highlight w:val="none"/>
              </w:rPr>
              <w:t>6</w:t>
            </w:r>
            <w:r>
              <w:rPr>
                <w:rFonts w:ascii="宋体" w:hAnsi="宋体" w:eastAsia="宋体"/>
                <w:szCs w:val="21"/>
                <w:highlight w:val="none"/>
              </w:rPr>
              <w:t>.</w:t>
            </w:r>
            <w:r>
              <w:rPr>
                <w:rFonts w:hint="eastAsia" w:ascii="宋体" w:hAnsi="宋体" w:eastAsia="宋体"/>
                <w:szCs w:val="21"/>
                <w:highlight w:val="none"/>
              </w:rPr>
              <w:t>课程简介宣传片：制作</w:t>
            </w:r>
            <w:r>
              <w:rPr>
                <w:rFonts w:ascii="宋体" w:hAnsi="宋体" w:eastAsia="宋体"/>
                <w:szCs w:val="21"/>
                <w:highlight w:val="none"/>
              </w:rPr>
              <w:t>6-8分钟</w:t>
            </w:r>
          </w:p>
        </w:tc>
      </w:tr>
      <w:tr w14:paraId="3789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A9AD057">
            <w:pPr>
              <w:jc w:val="center"/>
              <w:rPr>
                <w:rFonts w:hint="eastAsia" w:ascii="宋体" w:hAnsi="宋体" w:eastAsia="宋体"/>
                <w:szCs w:val="21"/>
                <w:highlight w:val="none"/>
              </w:rPr>
            </w:pPr>
            <w:r>
              <w:rPr>
                <w:rFonts w:hint="eastAsia" w:ascii="宋体" w:hAnsi="宋体" w:eastAsia="宋体"/>
                <w:szCs w:val="21"/>
                <w:highlight w:val="none"/>
              </w:rPr>
              <w:t>2</w:t>
            </w:r>
          </w:p>
        </w:tc>
        <w:tc>
          <w:tcPr>
            <w:tcW w:w="1275" w:type="dxa"/>
            <w:vAlign w:val="center"/>
          </w:tcPr>
          <w:p w14:paraId="40375E2A">
            <w:pPr>
              <w:jc w:val="center"/>
              <w:rPr>
                <w:rFonts w:hint="eastAsia" w:ascii="宋体" w:hAnsi="宋体" w:eastAsia="宋体"/>
                <w:szCs w:val="21"/>
                <w:highlight w:val="none"/>
              </w:rPr>
            </w:pPr>
            <w:r>
              <w:rPr>
                <w:rFonts w:hint="eastAsia" w:ascii="宋体" w:hAnsi="宋体" w:eastAsia="宋体"/>
                <w:szCs w:val="21"/>
                <w:highlight w:val="none"/>
              </w:rPr>
              <w:t>课程总体要求</w:t>
            </w:r>
          </w:p>
        </w:tc>
        <w:tc>
          <w:tcPr>
            <w:tcW w:w="6033" w:type="dxa"/>
          </w:tcPr>
          <w:p w14:paraId="7F44091E">
            <w:pPr>
              <w:spacing w:line="360" w:lineRule="auto"/>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建设内容为职业能力课程并配套完整的课程建设前期准备、中期建设和后期运行申报等全流程专属服务，并全国共享运行。</w:t>
            </w:r>
          </w:p>
          <w:p w14:paraId="17608B8D">
            <w:pPr>
              <w:spacing w:line="360"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2.课程必须是在线开放课程，运行平台须具备国家在线开放课程要求，具备完备的教学资源：包含讨论、答疑、作业、测试、考试等环节。</w:t>
            </w:r>
          </w:p>
          <w:p w14:paraId="701ED196">
            <w:pPr>
              <w:spacing w:line="360" w:lineRule="auto"/>
              <w:rPr>
                <w:rFonts w:ascii="宋体" w:hAnsi="宋体" w:eastAsia="宋体"/>
                <w:szCs w:val="21"/>
                <w:highlight w:val="none"/>
              </w:rPr>
            </w:pPr>
            <w:r>
              <w:rPr>
                <w:rFonts w:ascii="宋体" w:hAnsi="宋体" w:eastAsia="宋体"/>
                <w:szCs w:val="21"/>
                <w:highlight w:val="none"/>
              </w:rPr>
              <w:t>3.课程体系应涵盖：教学团队、课程设计、授课视频、课程资源、互动问答、课程资料、作业考试、课程评审等相关资源及功能模块。</w:t>
            </w:r>
          </w:p>
          <w:p w14:paraId="56642552">
            <w:pPr>
              <w:spacing w:line="360" w:lineRule="auto"/>
              <w:rPr>
                <w:rFonts w:hint="eastAsia" w:ascii="宋体" w:hAnsi="宋体" w:eastAsia="宋体"/>
                <w:szCs w:val="21"/>
                <w:highlight w:val="none"/>
                <w:lang w:eastAsia="zh-CN"/>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rPr>
              <w:t>课程视频制作标准严格按照职业能力课程</w:t>
            </w:r>
            <w:r>
              <w:rPr>
                <w:rFonts w:hint="eastAsia" w:ascii="宋体" w:hAnsi="宋体" w:eastAsia="宋体"/>
                <w:szCs w:val="21"/>
                <w:highlight w:val="none"/>
                <w:lang w:val="en-US" w:eastAsia="zh-CN"/>
              </w:rPr>
              <w:t>相关</w:t>
            </w:r>
            <w:r>
              <w:rPr>
                <w:rFonts w:hint="eastAsia" w:ascii="宋体" w:hAnsi="宋体" w:eastAsia="宋体"/>
                <w:szCs w:val="21"/>
                <w:highlight w:val="none"/>
              </w:rPr>
              <w:t>标准要求制作，</w:t>
            </w:r>
            <w:r>
              <w:rPr>
                <w:rFonts w:ascii="宋体" w:hAnsi="宋体" w:eastAsia="宋体"/>
                <w:szCs w:val="21"/>
                <w:highlight w:val="none"/>
              </w:rPr>
              <w:t>所有交付的课程须符合</w:t>
            </w:r>
            <w:r>
              <w:rPr>
                <w:rFonts w:hint="eastAsia" w:ascii="宋体" w:hAnsi="宋体" w:eastAsia="宋体"/>
                <w:szCs w:val="21"/>
                <w:highlight w:val="none"/>
              </w:rPr>
              <w:t>职业能力课程</w:t>
            </w:r>
            <w:r>
              <w:rPr>
                <w:rFonts w:hint="eastAsia" w:ascii="宋体" w:hAnsi="宋体" w:eastAsia="宋体"/>
                <w:szCs w:val="21"/>
                <w:highlight w:val="none"/>
                <w:lang w:val="en-US" w:eastAsia="zh-CN"/>
              </w:rPr>
              <w:t>相关</w:t>
            </w:r>
            <w:r>
              <w:rPr>
                <w:rFonts w:ascii="宋体" w:hAnsi="宋体" w:eastAsia="宋体"/>
                <w:szCs w:val="21"/>
                <w:highlight w:val="none"/>
              </w:rPr>
              <w:t>标准</w:t>
            </w:r>
            <w:r>
              <w:rPr>
                <w:rFonts w:hint="eastAsia" w:ascii="宋体" w:hAnsi="宋体" w:eastAsia="宋体"/>
                <w:szCs w:val="21"/>
                <w:highlight w:val="none"/>
                <w:lang w:eastAsia="zh-CN"/>
              </w:rPr>
              <w:t>。</w:t>
            </w:r>
          </w:p>
          <w:p w14:paraId="5A6161E1">
            <w:pPr>
              <w:spacing w:line="360" w:lineRule="auto"/>
              <w:rPr>
                <w:rFonts w:ascii="宋体" w:hAnsi="宋体" w:eastAsia="宋体"/>
                <w:szCs w:val="21"/>
                <w:highlight w:val="none"/>
              </w:rPr>
            </w:pPr>
            <w:r>
              <w:rPr>
                <w:rFonts w:ascii="宋体" w:hAnsi="宋体" w:eastAsia="宋体"/>
                <w:szCs w:val="21"/>
                <w:highlight w:val="none"/>
              </w:rPr>
              <w:t>5.提供课程上线运行的平台，符合国家在线课程运行要求，</w:t>
            </w:r>
            <w:r>
              <w:rPr>
                <w:rFonts w:hint="eastAsia" w:ascii="宋体" w:hAnsi="宋体" w:eastAsia="宋体"/>
                <w:szCs w:val="21"/>
                <w:highlight w:val="none"/>
              </w:rPr>
              <w:t>满足国家对在线精品课程认定要求。</w:t>
            </w:r>
            <w:r>
              <w:rPr>
                <w:rFonts w:ascii="宋体" w:hAnsi="宋体" w:eastAsia="宋体"/>
                <w:szCs w:val="21"/>
                <w:highlight w:val="none"/>
              </w:rPr>
              <w:t>供应商要拥用自主建设运营的国家在线开放课程平台或具有指定国家级在线开放课程平台针对本项目的正式授权</w:t>
            </w:r>
            <w:r>
              <w:rPr>
                <w:rFonts w:hint="eastAsia" w:ascii="宋体" w:hAnsi="宋体" w:eastAsia="宋体"/>
                <w:szCs w:val="21"/>
                <w:highlight w:val="none"/>
              </w:rPr>
              <w:t>。（指定在线精品课程平台主要为</w:t>
            </w:r>
            <w:r>
              <w:rPr>
                <w:rFonts w:ascii="宋体" w:hAnsi="宋体" w:eastAsia="宋体"/>
                <w:szCs w:val="21"/>
                <w:highlight w:val="none"/>
              </w:rPr>
              <w:t>2020年-2023年教育部认定较多的在线精品课程平台，如：中国大学慕课、智慧树、学银在线、智慧职教等</w:t>
            </w:r>
            <w:r>
              <w:rPr>
                <w:rFonts w:hint="eastAsia" w:ascii="宋体" w:hAnsi="宋体" w:eastAsia="宋体"/>
                <w:szCs w:val="21"/>
                <w:highlight w:val="none"/>
              </w:rPr>
              <w:t>）</w:t>
            </w:r>
          </w:p>
          <w:p w14:paraId="272452D1">
            <w:pPr>
              <w:spacing w:line="360" w:lineRule="auto"/>
              <w:rPr>
                <w:rFonts w:hint="eastAsia" w:ascii="宋体" w:hAnsi="宋体" w:eastAsia="宋体"/>
                <w:szCs w:val="21"/>
                <w:highlight w:val="none"/>
                <w:lang w:eastAsia="zh-CN"/>
              </w:rPr>
            </w:pPr>
            <w:r>
              <w:rPr>
                <w:rFonts w:hint="eastAsia" w:ascii="宋体" w:hAnsi="宋体" w:eastAsia="宋体"/>
                <w:szCs w:val="21"/>
                <w:highlight w:val="none"/>
              </w:rPr>
              <w:t>6</w:t>
            </w:r>
            <w:r>
              <w:rPr>
                <w:rFonts w:ascii="宋体" w:hAnsi="宋体" w:eastAsia="宋体"/>
                <w:szCs w:val="21"/>
                <w:highlight w:val="none"/>
              </w:rPr>
              <w:t>.</w:t>
            </w:r>
            <w:r>
              <w:rPr>
                <w:rFonts w:hint="eastAsia" w:ascii="宋体" w:hAnsi="宋体" w:eastAsia="宋体"/>
                <w:szCs w:val="21"/>
                <w:highlight w:val="none"/>
              </w:rPr>
              <w:t>★课程上线运行的平台需能够提供课程大数据分析报告</w:t>
            </w:r>
            <w:r>
              <w:rPr>
                <w:rFonts w:hint="eastAsia" w:ascii="宋体" w:hAnsi="宋体" w:eastAsia="宋体"/>
                <w:szCs w:val="21"/>
                <w:highlight w:val="none"/>
                <w:lang w:eastAsia="zh-CN"/>
              </w:rPr>
              <w:t>。</w:t>
            </w:r>
          </w:p>
        </w:tc>
      </w:tr>
      <w:tr w14:paraId="463E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FC0933E">
            <w:pPr>
              <w:jc w:val="center"/>
              <w:rPr>
                <w:rFonts w:hint="eastAsia" w:ascii="宋体" w:hAnsi="宋体" w:eastAsia="宋体"/>
                <w:szCs w:val="21"/>
                <w:highlight w:val="none"/>
              </w:rPr>
            </w:pPr>
            <w:r>
              <w:rPr>
                <w:rFonts w:hint="eastAsia" w:ascii="宋体" w:hAnsi="宋体" w:eastAsia="宋体"/>
                <w:szCs w:val="21"/>
                <w:highlight w:val="none"/>
              </w:rPr>
              <w:t>3</w:t>
            </w:r>
          </w:p>
        </w:tc>
        <w:tc>
          <w:tcPr>
            <w:tcW w:w="1275" w:type="dxa"/>
            <w:vAlign w:val="center"/>
          </w:tcPr>
          <w:p w14:paraId="59DD7FF9">
            <w:pPr>
              <w:jc w:val="center"/>
              <w:rPr>
                <w:rFonts w:hint="eastAsia" w:ascii="宋体" w:hAnsi="宋体" w:eastAsia="宋体"/>
                <w:szCs w:val="21"/>
                <w:highlight w:val="none"/>
              </w:rPr>
            </w:pPr>
            <w:r>
              <w:rPr>
                <w:rFonts w:hint="eastAsia" w:ascii="宋体" w:hAnsi="宋体" w:eastAsia="宋体"/>
                <w:szCs w:val="21"/>
                <w:highlight w:val="none"/>
              </w:rPr>
              <w:t>课程拍摄技术指标要求</w:t>
            </w:r>
          </w:p>
        </w:tc>
        <w:tc>
          <w:tcPr>
            <w:tcW w:w="6033" w:type="dxa"/>
          </w:tcPr>
          <w:p w14:paraId="52789BF3">
            <w:pPr>
              <w:spacing w:line="360" w:lineRule="auto"/>
              <w:rPr>
                <w:rFonts w:ascii="宋体" w:hAnsi="宋体" w:eastAsia="宋体"/>
                <w:szCs w:val="21"/>
                <w:highlight w:val="none"/>
              </w:rPr>
            </w:pPr>
            <w:r>
              <w:rPr>
                <w:rFonts w:ascii="宋体" w:hAnsi="宋体" w:eastAsia="宋体"/>
                <w:szCs w:val="21"/>
                <w:highlight w:val="none"/>
              </w:rPr>
              <w:t>1.视频信号源</w:t>
            </w:r>
          </w:p>
          <w:p w14:paraId="7803A4A6">
            <w:pPr>
              <w:spacing w:line="360" w:lineRule="auto"/>
              <w:rPr>
                <w:rFonts w:ascii="宋体" w:hAnsi="宋体" w:eastAsia="宋体"/>
                <w:szCs w:val="21"/>
                <w:highlight w:val="none"/>
              </w:rPr>
            </w:pPr>
            <w:r>
              <w:rPr>
                <w:rFonts w:ascii="宋体" w:hAnsi="宋体" w:eastAsia="宋体"/>
                <w:szCs w:val="21"/>
                <w:highlight w:val="none"/>
              </w:rPr>
              <w:t>(1)稳定性：全片图像同步性能稳定，无失步现象，CTL同步控制信号必须连续；图像无抖动跳跃，色彩无突变，编辑点处图像稳定。</w:t>
            </w:r>
          </w:p>
          <w:p w14:paraId="3ED0594F">
            <w:pPr>
              <w:spacing w:line="360" w:lineRule="auto"/>
              <w:rPr>
                <w:rFonts w:ascii="宋体" w:hAnsi="宋体" w:eastAsia="宋体"/>
                <w:szCs w:val="21"/>
                <w:highlight w:val="none"/>
              </w:rPr>
            </w:pPr>
            <w:r>
              <w:rPr>
                <w:rFonts w:ascii="宋体" w:hAnsi="宋体" w:eastAsia="宋体"/>
                <w:szCs w:val="21"/>
                <w:highlight w:val="none"/>
              </w:rPr>
              <w:t>(2)信噪比：图像信噪比不低于55dB，无明显杂波。</w:t>
            </w:r>
          </w:p>
          <w:p w14:paraId="59FEFFD8">
            <w:pPr>
              <w:spacing w:line="360" w:lineRule="auto"/>
              <w:rPr>
                <w:rFonts w:ascii="宋体" w:hAnsi="宋体" w:eastAsia="宋体"/>
                <w:szCs w:val="21"/>
                <w:highlight w:val="none"/>
              </w:rPr>
            </w:pPr>
            <w:r>
              <w:rPr>
                <w:rFonts w:ascii="宋体" w:hAnsi="宋体" w:eastAsia="宋体"/>
                <w:szCs w:val="21"/>
                <w:highlight w:val="none"/>
              </w:rPr>
              <w:t>(3)色调：白平衡正确，无明显偏色，多机拍摄的镜头衔接处无明显色差。</w:t>
            </w:r>
          </w:p>
          <w:p w14:paraId="26A9DAA3">
            <w:pPr>
              <w:spacing w:line="360" w:lineRule="auto"/>
              <w:rPr>
                <w:rFonts w:ascii="宋体" w:hAnsi="宋体" w:eastAsia="宋体"/>
                <w:szCs w:val="21"/>
                <w:highlight w:val="none"/>
              </w:rPr>
            </w:pPr>
            <w:r>
              <w:rPr>
                <w:rFonts w:ascii="宋体" w:hAnsi="宋体" w:eastAsia="宋体"/>
                <w:szCs w:val="21"/>
                <w:highlight w:val="none"/>
              </w:rPr>
              <w:t>(4)视频电平：视频全讯号幅度为1Ⅴp-p，最大不超过1.1Ⅴp-p。其中，消隐电平为0V时，白电平幅度0.7Ⅴp-p，同步信号-0.3V，色同步信号幅度0.3Vp-p(以消隐线上下对称)，全片一致。</w:t>
            </w:r>
          </w:p>
          <w:p w14:paraId="5D355889">
            <w:pPr>
              <w:spacing w:line="360" w:lineRule="auto"/>
              <w:rPr>
                <w:rFonts w:ascii="宋体" w:hAnsi="宋体" w:eastAsia="宋体"/>
                <w:szCs w:val="21"/>
                <w:highlight w:val="none"/>
              </w:rPr>
            </w:pPr>
            <w:r>
              <w:rPr>
                <w:rFonts w:ascii="宋体" w:hAnsi="宋体" w:eastAsia="宋体"/>
                <w:szCs w:val="21"/>
                <w:highlight w:val="none"/>
              </w:rPr>
              <w:t>2.音频信号源：</w:t>
            </w:r>
          </w:p>
          <w:p w14:paraId="629257E2">
            <w:pPr>
              <w:spacing w:line="360" w:lineRule="auto"/>
              <w:rPr>
                <w:rFonts w:ascii="宋体" w:hAnsi="宋体" w:eastAsia="宋体"/>
                <w:szCs w:val="21"/>
                <w:highlight w:val="none"/>
              </w:rPr>
            </w:pPr>
            <w:r>
              <w:rPr>
                <w:rFonts w:ascii="宋体" w:hAnsi="宋体" w:eastAsia="宋体"/>
                <w:szCs w:val="21"/>
                <w:highlight w:val="none"/>
              </w:rPr>
              <w:t>(1)声道：中文内容音频信号记录于第1声道，音乐、音效、同期声记录于第2声道，若有其他文字解说记录于第3声道(如录音设备无第3声道，则录于第2声道)。</w:t>
            </w:r>
          </w:p>
          <w:p w14:paraId="23426A52">
            <w:pPr>
              <w:spacing w:line="360" w:lineRule="auto"/>
              <w:rPr>
                <w:rFonts w:ascii="宋体" w:hAnsi="宋体" w:eastAsia="宋体"/>
                <w:szCs w:val="21"/>
                <w:highlight w:val="none"/>
              </w:rPr>
            </w:pPr>
            <w:r>
              <w:rPr>
                <w:rFonts w:ascii="宋体" w:hAnsi="宋体" w:eastAsia="宋体"/>
                <w:szCs w:val="21"/>
                <w:highlight w:val="none"/>
              </w:rPr>
              <w:t>(2)电平指标：-2db—-8db声音应无明显失真、放音过冲、过弱。</w:t>
            </w:r>
          </w:p>
          <w:p w14:paraId="45F590DF">
            <w:pPr>
              <w:spacing w:line="360" w:lineRule="auto"/>
              <w:rPr>
                <w:rFonts w:ascii="宋体" w:hAnsi="宋体" w:eastAsia="宋体"/>
                <w:szCs w:val="21"/>
                <w:highlight w:val="none"/>
              </w:rPr>
            </w:pPr>
            <w:r>
              <w:rPr>
                <w:rFonts w:ascii="宋体" w:hAnsi="宋体" w:eastAsia="宋体"/>
                <w:szCs w:val="21"/>
                <w:highlight w:val="none"/>
              </w:rPr>
              <w:t>(3)音频信噪比不低于48db。</w:t>
            </w:r>
          </w:p>
          <w:p w14:paraId="78C3A6FB">
            <w:pPr>
              <w:spacing w:line="360" w:lineRule="auto"/>
              <w:rPr>
                <w:rFonts w:ascii="宋体" w:hAnsi="宋体" w:eastAsia="宋体"/>
                <w:szCs w:val="21"/>
                <w:highlight w:val="none"/>
              </w:rPr>
            </w:pPr>
            <w:r>
              <w:rPr>
                <w:rFonts w:ascii="宋体" w:hAnsi="宋体" w:eastAsia="宋体"/>
                <w:szCs w:val="21"/>
                <w:highlight w:val="none"/>
              </w:rPr>
              <w:t>(4)声音和画面要求同步，无交流声或其他杂音等缺陷。</w:t>
            </w:r>
          </w:p>
          <w:p w14:paraId="04E9E193">
            <w:pPr>
              <w:spacing w:line="360" w:lineRule="auto"/>
              <w:rPr>
                <w:rFonts w:ascii="宋体" w:hAnsi="宋体" w:eastAsia="宋体"/>
                <w:szCs w:val="21"/>
                <w:highlight w:val="none"/>
              </w:rPr>
            </w:pPr>
            <w:r>
              <w:rPr>
                <w:rFonts w:ascii="宋体" w:hAnsi="宋体" w:eastAsia="宋体"/>
                <w:szCs w:val="21"/>
                <w:highlight w:val="none"/>
              </w:rPr>
              <w:t>(5)伴音清晰、饱满、圆润，无失真、噪声杂音干扰、音量忽大忽小现象。解说声与现场声无明显比例失调，解说声与背景音乐无明显比例失调。</w:t>
            </w:r>
          </w:p>
          <w:p w14:paraId="1B7F7795">
            <w:pPr>
              <w:spacing w:line="360" w:lineRule="auto"/>
              <w:rPr>
                <w:rFonts w:ascii="宋体" w:hAnsi="宋体" w:eastAsia="宋体"/>
                <w:szCs w:val="21"/>
                <w:highlight w:val="none"/>
              </w:rPr>
            </w:pPr>
            <w:r>
              <w:rPr>
                <w:rFonts w:ascii="宋体" w:hAnsi="宋体" w:eastAsia="宋体"/>
                <w:szCs w:val="21"/>
                <w:highlight w:val="none"/>
              </w:rPr>
              <w:t>3.提交视频标准：</w:t>
            </w:r>
          </w:p>
          <w:p w14:paraId="041B44EE">
            <w:pPr>
              <w:spacing w:line="360" w:lineRule="auto"/>
              <w:rPr>
                <w:rFonts w:ascii="宋体" w:hAnsi="宋体" w:eastAsia="宋体"/>
                <w:szCs w:val="21"/>
                <w:highlight w:val="none"/>
              </w:rPr>
            </w:pPr>
            <w:r>
              <w:rPr>
                <w:rFonts w:ascii="宋体" w:hAnsi="宋体" w:eastAsia="宋体"/>
                <w:szCs w:val="21"/>
                <w:highlight w:val="none"/>
              </w:rPr>
              <w:t>(1)拍摄设备：广播级或专业级高清摄像机。</w:t>
            </w:r>
          </w:p>
          <w:p w14:paraId="253021F9">
            <w:pPr>
              <w:spacing w:line="360" w:lineRule="auto"/>
              <w:rPr>
                <w:rFonts w:ascii="宋体" w:hAnsi="宋体" w:eastAsia="宋体"/>
                <w:szCs w:val="21"/>
                <w:highlight w:val="none"/>
              </w:rPr>
            </w:pPr>
            <w:r>
              <w:rPr>
                <w:rFonts w:ascii="宋体" w:hAnsi="宋体" w:eastAsia="宋体"/>
                <w:szCs w:val="21"/>
                <w:highlight w:val="none"/>
              </w:rPr>
              <w:t>(2)分辨率：1920*1080。</w:t>
            </w:r>
          </w:p>
          <w:p w14:paraId="42941A2F">
            <w:pPr>
              <w:spacing w:line="360" w:lineRule="auto"/>
              <w:rPr>
                <w:rFonts w:ascii="宋体" w:hAnsi="宋体" w:eastAsia="宋体"/>
                <w:szCs w:val="21"/>
                <w:highlight w:val="none"/>
              </w:rPr>
            </w:pPr>
            <w:r>
              <w:rPr>
                <w:rFonts w:ascii="宋体" w:hAnsi="宋体" w:eastAsia="宋体"/>
                <w:szCs w:val="21"/>
                <w:highlight w:val="none"/>
              </w:rPr>
              <w:t>(3)帧速率：25；宽高比：16:9；场序：逐行扫描。</w:t>
            </w:r>
          </w:p>
          <w:p w14:paraId="46BD56EA">
            <w:pPr>
              <w:spacing w:line="360" w:lineRule="auto"/>
              <w:rPr>
                <w:rFonts w:ascii="宋体" w:hAnsi="宋体" w:eastAsia="宋体"/>
                <w:szCs w:val="21"/>
                <w:highlight w:val="none"/>
              </w:rPr>
            </w:pPr>
            <w:r>
              <w:rPr>
                <w:rFonts w:ascii="宋体" w:hAnsi="宋体" w:eastAsia="宋体"/>
                <w:szCs w:val="21"/>
                <w:highlight w:val="none"/>
              </w:rPr>
              <w:t>(4)输出格式：mp4。</w:t>
            </w:r>
          </w:p>
          <w:p w14:paraId="68BC20AD">
            <w:pPr>
              <w:spacing w:line="360" w:lineRule="auto"/>
              <w:rPr>
                <w:rFonts w:ascii="宋体" w:hAnsi="宋体" w:eastAsia="宋体"/>
                <w:szCs w:val="21"/>
                <w:highlight w:val="none"/>
              </w:rPr>
            </w:pPr>
            <w:r>
              <w:rPr>
                <w:rFonts w:ascii="宋体" w:hAnsi="宋体" w:eastAsia="宋体"/>
                <w:szCs w:val="21"/>
                <w:highlight w:val="none"/>
              </w:rPr>
              <w:t>(5)编码格式：H.264。</w:t>
            </w:r>
          </w:p>
          <w:p w14:paraId="143E8C9A">
            <w:pPr>
              <w:spacing w:line="360" w:lineRule="auto"/>
              <w:rPr>
                <w:rFonts w:ascii="宋体" w:hAnsi="宋体" w:eastAsia="宋体"/>
                <w:szCs w:val="21"/>
                <w:highlight w:val="none"/>
              </w:rPr>
            </w:pPr>
            <w:r>
              <w:rPr>
                <w:rFonts w:ascii="宋体" w:hAnsi="宋体" w:eastAsia="宋体"/>
                <w:szCs w:val="21"/>
                <w:highlight w:val="none"/>
              </w:rPr>
              <w:t>(6)比特率：不低于8000kbps。</w:t>
            </w:r>
          </w:p>
          <w:p w14:paraId="3EA4BE2C">
            <w:pPr>
              <w:spacing w:line="360" w:lineRule="auto"/>
              <w:rPr>
                <w:rFonts w:ascii="宋体" w:hAnsi="宋体" w:eastAsia="宋体"/>
                <w:szCs w:val="21"/>
                <w:highlight w:val="none"/>
              </w:rPr>
            </w:pPr>
            <w:r>
              <w:rPr>
                <w:rFonts w:ascii="宋体" w:hAnsi="宋体" w:eastAsia="宋体"/>
                <w:szCs w:val="21"/>
                <w:highlight w:val="none"/>
              </w:rPr>
              <w:t>(7)音频采样率：44100KHz。</w:t>
            </w:r>
          </w:p>
          <w:p w14:paraId="2183541E">
            <w:pPr>
              <w:spacing w:line="360" w:lineRule="auto"/>
              <w:rPr>
                <w:rFonts w:hint="eastAsia" w:ascii="宋体" w:hAnsi="宋体" w:eastAsia="宋体"/>
                <w:szCs w:val="21"/>
                <w:highlight w:val="none"/>
              </w:rPr>
            </w:pPr>
            <w:r>
              <w:rPr>
                <w:rFonts w:ascii="宋体" w:hAnsi="宋体" w:eastAsia="宋体"/>
                <w:szCs w:val="21"/>
                <w:highlight w:val="none"/>
              </w:rPr>
              <w:t>(8)字幕：srt格式字幕文件。</w:t>
            </w:r>
          </w:p>
        </w:tc>
      </w:tr>
      <w:tr w14:paraId="10FF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CC7EADB">
            <w:pPr>
              <w:jc w:val="center"/>
              <w:rPr>
                <w:rFonts w:hint="eastAsia" w:ascii="宋体" w:hAnsi="宋体" w:eastAsia="宋体"/>
                <w:szCs w:val="21"/>
                <w:highlight w:val="none"/>
              </w:rPr>
            </w:pPr>
            <w:r>
              <w:rPr>
                <w:rFonts w:hint="eastAsia" w:ascii="宋体" w:hAnsi="宋体" w:eastAsia="宋体"/>
                <w:szCs w:val="21"/>
                <w:highlight w:val="none"/>
              </w:rPr>
              <w:t>4</w:t>
            </w:r>
          </w:p>
        </w:tc>
        <w:tc>
          <w:tcPr>
            <w:tcW w:w="1275" w:type="dxa"/>
            <w:vAlign w:val="center"/>
          </w:tcPr>
          <w:p w14:paraId="2C89AEBF">
            <w:pPr>
              <w:jc w:val="center"/>
              <w:rPr>
                <w:rFonts w:hint="eastAsia" w:ascii="宋体" w:hAnsi="宋体" w:eastAsia="宋体"/>
                <w:szCs w:val="21"/>
                <w:highlight w:val="none"/>
              </w:rPr>
            </w:pPr>
            <w:r>
              <w:rPr>
                <w:rFonts w:hint="eastAsia" w:ascii="宋体" w:hAnsi="宋体" w:eastAsia="宋体"/>
                <w:szCs w:val="21"/>
                <w:highlight w:val="none"/>
              </w:rPr>
              <w:t>拍摄团队</w:t>
            </w:r>
          </w:p>
        </w:tc>
        <w:tc>
          <w:tcPr>
            <w:tcW w:w="6033" w:type="dxa"/>
          </w:tcPr>
          <w:p w14:paraId="1377F32C">
            <w:pPr>
              <w:spacing w:line="360" w:lineRule="auto"/>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本项目要求供应商提供的项目实施成员为投标供应商或指定平台所属员工，需提供项目成员近</w:t>
            </w:r>
            <w:r>
              <w:rPr>
                <w:rFonts w:ascii="宋体" w:hAnsi="宋体" w:eastAsia="宋体"/>
                <w:szCs w:val="21"/>
                <w:highlight w:val="none"/>
              </w:rPr>
              <w:t>3个月社保证明及在职证明，未经学校允许，禁止更换。</w:t>
            </w:r>
          </w:p>
          <w:p w14:paraId="7398F303">
            <w:pPr>
              <w:spacing w:line="360" w:lineRule="auto"/>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课程视频制作团队，至少包含课程经理、课程顾问</w:t>
            </w:r>
            <w:r>
              <w:rPr>
                <w:rFonts w:ascii="宋体" w:hAnsi="宋体" w:eastAsia="宋体"/>
                <w:szCs w:val="21"/>
                <w:highlight w:val="none"/>
              </w:rPr>
              <w:t>(编导)、视频工程师、课程专员各一名。</w:t>
            </w:r>
          </w:p>
          <w:p w14:paraId="3901B166">
            <w:pPr>
              <w:spacing w:line="360" w:lineRule="auto"/>
              <w:rPr>
                <w:rFonts w:hint="eastAsia" w:ascii="宋体" w:hAnsi="宋体" w:eastAsia="宋体"/>
                <w:szCs w:val="21"/>
                <w:highlight w:val="none"/>
              </w:rPr>
            </w:pPr>
            <w:r>
              <w:rPr>
                <w:rFonts w:hint="eastAsia" w:ascii="宋体" w:hAnsi="宋体" w:eastAsia="宋体"/>
                <w:szCs w:val="21"/>
                <w:highlight w:val="none"/>
              </w:rPr>
              <w:t>3</w:t>
            </w:r>
            <w:r>
              <w:rPr>
                <w:rFonts w:ascii="宋体" w:hAnsi="宋体" w:eastAsia="宋体"/>
                <w:szCs w:val="21"/>
                <w:highlight w:val="none"/>
              </w:rPr>
              <w:t>.</w:t>
            </w:r>
            <w:r>
              <w:rPr>
                <w:rFonts w:hint="eastAsia" w:ascii="宋体" w:hAnsi="宋体" w:eastAsia="宋体"/>
                <w:szCs w:val="21"/>
                <w:highlight w:val="none"/>
              </w:rPr>
              <w:t>后期制作及效果包装</w:t>
            </w:r>
            <w:r>
              <w:rPr>
                <w:rFonts w:ascii="宋体" w:hAnsi="宋体" w:eastAsia="宋体"/>
                <w:szCs w:val="21"/>
                <w:highlight w:val="none"/>
              </w:rPr>
              <w:t>(三年以上宣传片剪辑经验，两年以上课程资源剪辑经验)1-3人，负责课程所涉及动画设计及制作。</w:t>
            </w:r>
          </w:p>
        </w:tc>
      </w:tr>
      <w:tr w14:paraId="29A3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5AEB573">
            <w:pPr>
              <w:jc w:val="center"/>
              <w:rPr>
                <w:rFonts w:hint="eastAsia" w:ascii="宋体" w:hAnsi="宋体" w:eastAsia="宋体"/>
                <w:szCs w:val="21"/>
                <w:highlight w:val="none"/>
              </w:rPr>
            </w:pPr>
            <w:r>
              <w:rPr>
                <w:rFonts w:hint="eastAsia" w:ascii="宋体" w:hAnsi="宋体" w:eastAsia="宋体"/>
                <w:szCs w:val="21"/>
                <w:highlight w:val="none"/>
              </w:rPr>
              <w:t>5</w:t>
            </w:r>
          </w:p>
        </w:tc>
        <w:tc>
          <w:tcPr>
            <w:tcW w:w="1275" w:type="dxa"/>
            <w:vAlign w:val="center"/>
          </w:tcPr>
          <w:p w14:paraId="1A73B5CD">
            <w:pPr>
              <w:jc w:val="center"/>
              <w:rPr>
                <w:rFonts w:hint="eastAsia" w:ascii="宋体" w:hAnsi="宋体" w:eastAsia="宋体"/>
                <w:szCs w:val="21"/>
                <w:highlight w:val="none"/>
              </w:rPr>
            </w:pPr>
            <w:r>
              <w:rPr>
                <w:rFonts w:hint="eastAsia" w:ascii="宋体" w:hAnsi="宋体" w:eastAsia="宋体"/>
                <w:szCs w:val="21"/>
                <w:highlight w:val="none"/>
              </w:rPr>
              <w:t>拍摄方式及拍摄准备</w:t>
            </w:r>
          </w:p>
        </w:tc>
        <w:tc>
          <w:tcPr>
            <w:tcW w:w="6033" w:type="dxa"/>
          </w:tcPr>
          <w:p w14:paraId="40D0F87C">
            <w:pPr>
              <w:spacing w:line="360" w:lineRule="auto"/>
              <w:rPr>
                <w:rFonts w:ascii="宋体" w:hAnsi="宋体" w:eastAsia="宋体"/>
                <w:szCs w:val="21"/>
                <w:highlight w:val="none"/>
              </w:rPr>
            </w:pPr>
            <w:r>
              <w:rPr>
                <w:rFonts w:ascii="宋体" w:hAnsi="宋体" w:eastAsia="宋体"/>
                <w:szCs w:val="21"/>
                <w:highlight w:val="none"/>
              </w:rPr>
              <w:t>1.根据课程性质，课程顾问团队与教师一起确定课程最合理拍摄方式，为老师提供多种拍摄模式参考：</w:t>
            </w:r>
          </w:p>
          <w:p w14:paraId="2BD99307">
            <w:pPr>
              <w:spacing w:line="360" w:lineRule="auto"/>
              <w:rPr>
                <w:rFonts w:ascii="宋体" w:hAnsi="宋体" w:eastAsia="宋体"/>
                <w:szCs w:val="21"/>
                <w:highlight w:val="none"/>
              </w:rPr>
            </w:pPr>
            <w:r>
              <w:rPr>
                <w:rFonts w:ascii="宋体" w:hAnsi="宋体" w:eastAsia="宋体"/>
                <w:szCs w:val="21"/>
                <w:highlight w:val="none"/>
              </w:rPr>
              <w:t>(1)基地PPT模式：在摄影棚内拍摄，全程PPT演示可展示教学素材</w:t>
            </w:r>
          </w:p>
          <w:p w14:paraId="54EA2F2F">
            <w:pPr>
              <w:spacing w:line="360" w:lineRule="auto"/>
              <w:rPr>
                <w:rFonts w:ascii="宋体" w:hAnsi="宋体" w:eastAsia="宋体"/>
                <w:szCs w:val="21"/>
                <w:highlight w:val="none"/>
              </w:rPr>
            </w:pPr>
            <w:r>
              <w:rPr>
                <w:rFonts w:ascii="宋体" w:hAnsi="宋体" w:eastAsia="宋体"/>
                <w:szCs w:val="21"/>
                <w:highlight w:val="none"/>
              </w:rPr>
              <w:t>(2)基地访谈模式：在摄影棚内摆拍根据访谈人数，设定机位数，一般1-2机位，教学过程由多位老师交流讨论完成。</w:t>
            </w:r>
          </w:p>
          <w:p w14:paraId="37210E65">
            <w:pPr>
              <w:spacing w:line="360" w:lineRule="auto"/>
              <w:rPr>
                <w:rFonts w:ascii="宋体" w:hAnsi="宋体" w:eastAsia="宋体"/>
                <w:szCs w:val="21"/>
                <w:highlight w:val="none"/>
              </w:rPr>
            </w:pPr>
            <w:r>
              <w:rPr>
                <w:rFonts w:ascii="宋体" w:hAnsi="宋体" w:eastAsia="宋体"/>
                <w:szCs w:val="21"/>
                <w:highlight w:val="none"/>
              </w:rPr>
              <w:t>(3)基地演示模式：在摄影棚内多机位拍摄通过实际操作演示完成教学过程。</w:t>
            </w:r>
          </w:p>
          <w:p w14:paraId="0A31F6E3">
            <w:pPr>
              <w:spacing w:line="360" w:lineRule="auto"/>
              <w:rPr>
                <w:rFonts w:ascii="宋体" w:hAnsi="宋体" w:eastAsia="宋体"/>
                <w:szCs w:val="21"/>
                <w:highlight w:val="none"/>
              </w:rPr>
            </w:pPr>
            <w:r>
              <w:rPr>
                <w:rFonts w:ascii="宋体" w:hAnsi="宋体" w:eastAsia="宋体"/>
                <w:szCs w:val="21"/>
                <w:highlight w:val="none"/>
              </w:rPr>
              <w:t>(4)真人动画模式：在摄影棚内按照脚本设计完成课程拍摄，后期配动画可以根据老师讲课风格特点增加课程趣味性。</w:t>
            </w:r>
          </w:p>
          <w:p w14:paraId="39D90CCD">
            <w:pPr>
              <w:spacing w:line="360" w:lineRule="auto"/>
              <w:rPr>
                <w:rFonts w:ascii="宋体" w:hAnsi="宋体" w:eastAsia="宋体"/>
                <w:szCs w:val="21"/>
                <w:highlight w:val="none"/>
              </w:rPr>
            </w:pPr>
            <w:r>
              <w:rPr>
                <w:rFonts w:ascii="宋体" w:hAnsi="宋体" w:eastAsia="宋体"/>
                <w:szCs w:val="21"/>
                <w:highlight w:val="none"/>
              </w:rPr>
              <w:t>(5)完全动画模式：老师根据讲稿在基地摄影棚内完成高音质录音，后期用动画模式展现课程。</w:t>
            </w:r>
          </w:p>
          <w:p w14:paraId="56CCE000">
            <w:pPr>
              <w:spacing w:line="360" w:lineRule="auto"/>
              <w:rPr>
                <w:rFonts w:ascii="宋体" w:hAnsi="宋体" w:eastAsia="宋体"/>
                <w:szCs w:val="21"/>
                <w:highlight w:val="none"/>
              </w:rPr>
            </w:pPr>
            <w:r>
              <w:rPr>
                <w:rFonts w:ascii="宋体" w:hAnsi="宋体" w:eastAsia="宋体"/>
                <w:szCs w:val="21"/>
                <w:highlight w:val="none"/>
              </w:rPr>
              <w:t>(6)场景实操模式：根据老师课程需求，选择在特定拍摄场地，多机位拍摄。</w:t>
            </w:r>
          </w:p>
          <w:p w14:paraId="0CBA3D70">
            <w:pPr>
              <w:spacing w:line="360" w:lineRule="auto"/>
              <w:rPr>
                <w:rFonts w:ascii="宋体" w:hAnsi="宋体" w:eastAsia="宋体"/>
                <w:szCs w:val="21"/>
                <w:highlight w:val="none"/>
              </w:rPr>
            </w:pPr>
            <w:r>
              <w:rPr>
                <w:rFonts w:ascii="宋体" w:hAnsi="宋体" w:eastAsia="宋体"/>
                <w:szCs w:val="21"/>
                <w:highlight w:val="none"/>
              </w:rPr>
              <w:t>(7)其他模式：特殊课程可根据老师课程框架设计更多</w:t>
            </w:r>
          </w:p>
          <w:p w14:paraId="5FD3B891">
            <w:pPr>
              <w:spacing w:line="360" w:lineRule="auto"/>
              <w:rPr>
                <w:rFonts w:ascii="宋体" w:hAnsi="宋体" w:eastAsia="宋体"/>
                <w:szCs w:val="21"/>
                <w:highlight w:val="none"/>
              </w:rPr>
            </w:pPr>
            <w:r>
              <w:rPr>
                <w:rFonts w:ascii="宋体" w:hAnsi="宋体" w:eastAsia="宋体"/>
                <w:szCs w:val="21"/>
                <w:highlight w:val="none"/>
              </w:rPr>
              <w:t>2.视频技术主管根据教师课程设计帮助老师选择设定最合适的拍摄方案，并制定完善的拍摄计划。</w:t>
            </w:r>
          </w:p>
          <w:p w14:paraId="585C8C6F">
            <w:pPr>
              <w:spacing w:line="360" w:lineRule="auto"/>
              <w:rPr>
                <w:rFonts w:ascii="宋体" w:hAnsi="宋体" w:eastAsia="宋体"/>
                <w:szCs w:val="21"/>
                <w:highlight w:val="none"/>
              </w:rPr>
            </w:pPr>
            <w:r>
              <w:rPr>
                <w:rFonts w:ascii="宋体" w:hAnsi="宋体" w:eastAsia="宋体"/>
                <w:szCs w:val="21"/>
                <w:highlight w:val="none"/>
              </w:rPr>
              <w:t>3.根据拍摄计划，按照不同的场景、要求进行前期准备，有特殊拍摄需要老师配合，和老师确定准备材料。</w:t>
            </w:r>
          </w:p>
          <w:p w14:paraId="71845E88">
            <w:pPr>
              <w:spacing w:line="360" w:lineRule="auto"/>
              <w:rPr>
                <w:rFonts w:ascii="宋体" w:hAnsi="宋体" w:eastAsia="宋体"/>
                <w:szCs w:val="21"/>
                <w:highlight w:val="none"/>
              </w:rPr>
            </w:pPr>
            <w:r>
              <w:rPr>
                <w:rFonts w:ascii="宋体" w:hAnsi="宋体" w:eastAsia="宋体"/>
                <w:szCs w:val="21"/>
                <w:highlight w:val="none"/>
              </w:rPr>
              <w:t>4.根据拍摄技术标准和课程内容，设计贴合教师授课特点的拍摄形式，与老师沟通说明拍摄要求，并协助提供着装意见。</w:t>
            </w:r>
          </w:p>
          <w:p w14:paraId="7E2B69EF">
            <w:pPr>
              <w:spacing w:line="360" w:lineRule="auto"/>
              <w:rPr>
                <w:rFonts w:ascii="宋体" w:hAnsi="宋体" w:eastAsia="宋体"/>
                <w:szCs w:val="21"/>
                <w:highlight w:val="none"/>
              </w:rPr>
            </w:pPr>
            <w:r>
              <w:rPr>
                <w:rFonts w:ascii="宋体" w:hAnsi="宋体" w:eastAsia="宋体"/>
                <w:szCs w:val="21"/>
                <w:highlight w:val="none"/>
              </w:rPr>
              <w:t>5.安排专人协助教师搜集各类课程资料和辅助资源，包括图片、视频、文档等。</w:t>
            </w:r>
          </w:p>
          <w:p w14:paraId="641235B7">
            <w:pPr>
              <w:spacing w:line="360" w:lineRule="auto"/>
              <w:rPr>
                <w:rFonts w:hint="eastAsia" w:ascii="宋体" w:hAnsi="宋体" w:eastAsia="宋体"/>
                <w:szCs w:val="21"/>
                <w:highlight w:val="none"/>
              </w:rPr>
            </w:pPr>
            <w:r>
              <w:rPr>
                <w:rFonts w:ascii="宋体" w:hAnsi="宋体" w:eastAsia="宋体"/>
                <w:szCs w:val="21"/>
                <w:highlight w:val="none"/>
              </w:rPr>
              <w:t>6.按照拍摄方案要求，设计拍摄场景并安排布景和调试灯光。</w:t>
            </w:r>
          </w:p>
        </w:tc>
      </w:tr>
      <w:tr w14:paraId="2EDC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4EE4D21">
            <w:pPr>
              <w:jc w:val="center"/>
              <w:rPr>
                <w:rFonts w:hint="eastAsia" w:ascii="宋体" w:hAnsi="宋体" w:eastAsia="宋体"/>
                <w:szCs w:val="21"/>
                <w:highlight w:val="none"/>
              </w:rPr>
            </w:pPr>
            <w:r>
              <w:rPr>
                <w:rFonts w:hint="eastAsia" w:ascii="宋体" w:hAnsi="宋体" w:eastAsia="宋体"/>
                <w:szCs w:val="21"/>
                <w:highlight w:val="none"/>
              </w:rPr>
              <w:t>6</w:t>
            </w:r>
          </w:p>
        </w:tc>
        <w:tc>
          <w:tcPr>
            <w:tcW w:w="1275" w:type="dxa"/>
            <w:vAlign w:val="center"/>
          </w:tcPr>
          <w:p w14:paraId="5511DDC7">
            <w:pPr>
              <w:jc w:val="center"/>
              <w:rPr>
                <w:rFonts w:hint="eastAsia" w:ascii="宋体" w:hAnsi="宋体" w:eastAsia="宋体"/>
                <w:szCs w:val="21"/>
                <w:highlight w:val="none"/>
              </w:rPr>
            </w:pPr>
            <w:r>
              <w:rPr>
                <w:rFonts w:hint="eastAsia" w:ascii="宋体" w:hAnsi="宋体" w:eastAsia="宋体"/>
                <w:szCs w:val="21"/>
                <w:highlight w:val="none"/>
              </w:rPr>
              <w:t>片头与片尾</w:t>
            </w:r>
          </w:p>
        </w:tc>
        <w:tc>
          <w:tcPr>
            <w:tcW w:w="6033" w:type="dxa"/>
          </w:tcPr>
          <w:p w14:paraId="33369D55">
            <w:pPr>
              <w:spacing w:line="360" w:lineRule="auto"/>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提供课程</w:t>
            </w:r>
            <w:r>
              <w:rPr>
                <w:rFonts w:ascii="宋体" w:hAnsi="宋体" w:eastAsia="宋体"/>
                <w:szCs w:val="21"/>
                <w:highlight w:val="none"/>
              </w:rPr>
              <w:t>VI设计套件(视频片头、片尾、课程LOGO制作等)</w:t>
            </w:r>
          </w:p>
          <w:p w14:paraId="53C4B2A1">
            <w:pPr>
              <w:spacing w:line="360" w:lineRule="auto"/>
              <w:rPr>
                <w:rFonts w:ascii="宋体" w:hAnsi="宋体" w:eastAsia="宋体"/>
                <w:szCs w:val="21"/>
                <w:highlight w:val="none"/>
              </w:rPr>
            </w:pPr>
            <w:r>
              <w:rPr>
                <w:rFonts w:ascii="宋体" w:hAnsi="宋体" w:eastAsia="宋体"/>
                <w:szCs w:val="21"/>
                <w:highlight w:val="none"/>
              </w:rPr>
              <w:t>2.片头：使用专业的后期合成软件进行片头设计：用平面设计+后期合成+3D渲染，根据每个课题的内容设计出相关联的内容元素，片头不超过15秒，包括:课程名称、讲次、主讲教师姓名、专业技术职务、单位等信息。</w:t>
            </w:r>
          </w:p>
          <w:p w14:paraId="2975FFA0">
            <w:pPr>
              <w:spacing w:line="360" w:lineRule="auto"/>
              <w:rPr>
                <w:rFonts w:hint="eastAsia" w:ascii="宋体" w:hAnsi="宋体" w:eastAsia="宋体"/>
                <w:szCs w:val="21"/>
                <w:highlight w:val="none"/>
              </w:rPr>
            </w:pPr>
            <w:r>
              <w:rPr>
                <w:rFonts w:ascii="宋体" w:hAnsi="宋体" w:eastAsia="宋体"/>
                <w:szCs w:val="21"/>
                <w:highlight w:val="none"/>
              </w:rPr>
              <w:t>3.片尾包括版权单位、录制时间等信息。</w:t>
            </w:r>
          </w:p>
        </w:tc>
      </w:tr>
      <w:tr w14:paraId="55EE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CF98BB5">
            <w:pPr>
              <w:jc w:val="center"/>
              <w:rPr>
                <w:rFonts w:hint="eastAsia" w:ascii="宋体" w:hAnsi="宋体" w:eastAsia="宋体"/>
                <w:szCs w:val="21"/>
                <w:highlight w:val="none"/>
              </w:rPr>
            </w:pPr>
            <w:r>
              <w:rPr>
                <w:rFonts w:hint="eastAsia" w:ascii="宋体" w:hAnsi="宋体" w:eastAsia="宋体"/>
                <w:szCs w:val="21"/>
                <w:highlight w:val="none"/>
              </w:rPr>
              <w:t>7</w:t>
            </w:r>
          </w:p>
        </w:tc>
        <w:tc>
          <w:tcPr>
            <w:tcW w:w="1275" w:type="dxa"/>
            <w:vAlign w:val="center"/>
          </w:tcPr>
          <w:p w14:paraId="0C7187BB">
            <w:pPr>
              <w:jc w:val="center"/>
              <w:rPr>
                <w:rFonts w:hint="eastAsia" w:ascii="宋体" w:hAnsi="宋体" w:eastAsia="宋体"/>
                <w:szCs w:val="21"/>
                <w:highlight w:val="none"/>
              </w:rPr>
            </w:pPr>
            <w:r>
              <w:rPr>
                <w:rFonts w:ascii="宋体" w:hAnsi="宋体" w:eastAsia="宋体"/>
                <w:szCs w:val="21"/>
                <w:highlight w:val="none"/>
              </w:rPr>
              <w:t>课程内容剪辑要求</w:t>
            </w:r>
          </w:p>
        </w:tc>
        <w:tc>
          <w:tcPr>
            <w:tcW w:w="6033" w:type="dxa"/>
          </w:tcPr>
          <w:p w14:paraId="7A70D6D7">
            <w:pPr>
              <w:spacing w:line="360" w:lineRule="auto"/>
              <w:rPr>
                <w:rFonts w:hint="eastAsia" w:ascii="宋体" w:hAnsi="宋体" w:eastAsia="宋体"/>
                <w:szCs w:val="21"/>
                <w:highlight w:val="none"/>
              </w:rPr>
            </w:pPr>
            <w:r>
              <w:rPr>
                <w:rFonts w:ascii="宋体" w:hAnsi="宋体" w:eastAsia="宋体"/>
                <w:szCs w:val="21"/>
                <w:highlight w:val="none"/>
              </w:rPr>
              <w:t>按照章节框架、以及现场场记情况，分章节剪辑老师状态不佳、口误、出境、停顿等片段。实操部分添加必要的背景音乐，保证制作的片花无错误、无硬伤，画面美观，排版规范、逻辑完整。</w:t>
            </w:r>
          </w:p>
        </w:tc>
      </w:tr>
      <w:tr w14:paraId="4460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14B3035">
            <w:pPr>
              <w:jc w:val="center"/>
              <w:rPr>
                <w:rFonts w:hint="eastAsia" w:ascii="宋体" w:hAnsi="宋体" w:eastAsia="宋体"/>
                <w:szCs w:val="21"/>
                <w:highlight w:val="none"/>
              </w:rPr>
            </w:pPr>
            <w:r>
              <w:rPr>
                <w:rFonts w:hint="eastAsia" w:ascii="宋体" w:hAnsi="宋体" w:eastAsia="宋体"/>
                <w:szCs w:val="21"/>
                <w:highlight w:val="none"/>
              </w:rPr>
              <w:t>8</w:t>
            </w:r>
          </w:p>
        </w:tc>
        <w:tc>
          <w:tcPr>
            <w:tcW w:w="1275" w:type="dxa"/>
            <w:vAlign w:val="center"/>
          </w:tcPr>
          <w:p w14:paraId="2C852225">
            <w:pPr>
              <w:jc w:val="center"/>
              <w:rPr>
                <w:rFonts w:ascii="宋体" w:hAnsi="宋体" w:eastAsia="宋体"/>
                <w:szCs w:val="21"/>
                <w:highlight w:val="none"/>
              </w:rPr>
            </w:pPr>
            <w:r>
              <w:rPr>
                <w:rFonts w:hint="eastAsia" w:ascii="宋体" w:hAnsi="宋体" w:eastAsia="宋体"/>
                <w:szCs w:val="21"/>
                <w:highlight w:val="none"/>
              </w:rPr>
              <w:t>多媒体课件的制作及录制</w:t>
            </w:r>
          </w:p>
        </w:tc>
        <w:tc>
          <w:tcPr>
            <w:tcW w:w="6033" w:type="dxa"/>
          </w:tcPr>
          <w:p w14:paraId="484FD8BE">
            <w:pPr>
              <w:spacing w:line="360" w:lineRule="auto"/>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课程脚本制作，对</w:t>
            </w:r>
            <w:r>
              <w:rPr>
                <w:rFonts w:ascii="宋体" w:hAnsi="宋体" w:eastAsia="宋体"/>
                <w:szCs w:val="21"/>
                <w:highlight w:val="none"/>
              </w:rPr>
              <w:t>PPT课件美化</w:t>
            </w:r>
            <w:r>
              <w:rPr>
                <w:rFonts w:hint="eastAsia" w:ascii="宋体" w:hAnsi="宋体" w:eastAsia="宋体"/>
                <w:szCs w:val="21"/>
                <w:highlight w:val="none"/>
              </w:rPr>
              <w:t>，并能够根据实际情况选择适当制作方式，确保成片中的多媒体演示、实物展示及板书完整、清晰。</w:t>
            </w:r>
          </w:p>
          <w:p w14:paraId="0A7BA476">
            <w:pPr>
              <w:spacing w:line="360" w:lineRule="auto"/>
              <w:rPr>
                <w:rFonts w:hint="eastAsia"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相关课程开发单位拥有高效的动态字制作软件，能有效解决动态字添加以及动画的制作，在日常课程制作中，能一次性完成提示字以及提示图片的制作，软件针对课程制作，附加标注明显的动态字图，加深对课程知识点的理解。</w:t>
            </w:r>
          </w:p>
        </w:tc>
      </w:tr>
      <w:tr w14:paraId="29D6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8DCD05F">
            <w:pPr>
              <w:jc w:val="center"/>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9</w:t>
            </w:r>
          </w:p>
        </w:tc>
        <w:tc>
          <w:tcPr>
            <w:tcW w:w="1275" w:type="dxa"/>
            <w:vAlign w:val="center"/>
          </w:tcPr>
          <w:p w14:paraId="4A32BA95">
            <w:pPr>
              <w:jc w:val="center"/>
              <w:rPr>
                <w:rFonts w:ascii="宋体" w:hAnsi="宋体" w:eastAsia="宋体"/>
                <w:szCs w:val="21"/>
                <w:highlight w:val="none"/>
              </w:rPr>
            </w:pPr>
            <w:r>
              <w:rPr>
                <w:rFonts w:hint="eastAsia" w:ascii="宋体" w:hAnsi="宋体" w:eastAsia="宋体"/>
                <w:szCs w:val="21"/>
                <w:highlight w:val="none"/>
              </w:rPr>
              <w:t>平台运行功能及运行服务要求</w:t>
            </w:r>
          </w:p>
        </w:tc>
        <w:tc>
          <w:tcPr>
            <w:tcW w:w="6033" w:type="dxa"/>
          </w:tcPr>
          <w:p w14:paraId="45B2FA4F">
            <w:pPr>
              <w:spacing w:line="360" w:lineRule="auto"/>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平台能够实现共享课程开课选课、在线自主学习讨论、跨校课堂直播互动、移动端教学等，并支持一键实时导出加盖平台公章的职业教育在线精品课程评审信息表。（提供平台此功能截图并加盖公章）</w:t>
            </w:r>
          </w:p>
          <w:p w14:paraId="78040E4F">
            <w:pPr>
              <w:spacing w:line="360" w:lineRule="auto"/>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本项目课程资源建设需要供应商或提供的教学平台具备知识图谱建设升级能力：</w:t>
            </w:r>
          </w:p>
          <w:p w14:paraId="300003C0">
            <w:pPr>
              <w:spacing w:line="360"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1）支持不少于6种图谱的构建，包含树状图谱、环状图谱、网状图谱、个性化图谱、问题图谱、能力图谱。（提供平台截图盖章证明）</w:t>
            </w:r>
          </w:p>
          <w:p w14:paraId="23C7CECC">
            <w:pPr>
              <w:spacing w:line="360"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支持设置课程能力目标，课程能力目标包含课程目标描述、课程目标拆解、课程目标详情。其中课程目标拆解课设置主能力目标、子能力目标、关联知识点、覆盖问题等，在一门课程中能力目标课数量设置不设上限，</w:t>
            </w:r>
            <w:r>
              <w:rPr>
                <w:rFonts w:hint="eastAsia" w:ascii="宋体" w:hAnsi="宋体" w:eastAsia="宋体"/>
                <w:szCs w:val="21"/>
                <w:highlight w:val="none"/>
              </w:rPr>
              <w:t>能够</w:t>
            </w:r>
            <w:r>
              <w:rPr>
                <w:rFonts w:ascii="宋体" w:hAnsi="宋体" w:eastAsia="宋体"/>
                <w:szCs w:val="21"/>
                <w:highlight w:val="none"/>
              </w:rPr>
              <w:t>根据实际使用需要设置多个主目标与子目标（需提供平台截图盖章证明）。</w:t>
            </w:r>
          </w:p>
          <w:p w14:paraId="2DC394B2">
            <w:pPr>
              <w:spacing w:line="360"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3）支持问题图谱学习：支持以问题为导向的学习，通过“全局层问题——概念层问题——方法层问题”三层问题模型结构，查看解决课程经典问题所需要掌握的知识点（需提供平台截图盖章证明）。</w:t>
            </w:r>
          </w:p>
          <w:p w14:paraId="138C7B8D">
            <w:pPr>
              <w:spacing w:line="360" w:lineRule="auto"/>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本项目课程资源建设需要供应商或提供的教学平台具备A</w:t>
            </w:r>
            <w:r>
              <w:rPr>
                <w:rFonts w:ascii="宋体" w:hAnsi="宋体" w:eastAsia="宋体"/>
                <w:szCs w:val="21"/>
                <w:highlight w:val="none"/>
              </w:rPr>
              <w:t>I</w:t>
            </w:r>
            <w:r>
              <w:rPr>
                <w:rFonts w:hint="eastAsia" w:ascii="宋体" w:hAnsi="宋体" w:eastAsia="宋体"/>
                <w:szCs w:val="21"/>
                <w:highlight w:val="none"/>
              </w:rPr>
              <w:t>能力：</w:t>
            </w:r>
          </w:p>
          <w:p w14:paraId="53F4A2DF">
            <w:pPr>
              <w:spacing w:line="360"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AI生成知识点教案：支持课程根据预设的课程大纲和知识点，AI准确提取和整合相关知识点，设计出针对性强、互动性高的教学方案，教案包含教学目标、教学重点与难点、教学内容、案例引入、拓展阅读和知识点测评等（需提供平台截图盖章证明）。</w:t>
            </w:r>
          </w:p>
          <w:p w14:paraId="060EA747">
            <w:pPr>
              <w:spacing w:line="360" w:lineRule="auto"/>
              <w:rPr>
                <w:rFonts w:hint="eastAsia"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支持利用AI一键生成知识点思政案例，助力课程备课，支持针对课程内容以搜索框形式发布AI生成思政案例指令，支持查看AI动态推荐的不少于5条的课程思政点列表并点击操作，支持查看一个月内AI生成思政案例的历史记录，包括思政点及不少于三行的内容预览。（需提供平台截图盖章证明）</w:t>
            </w:r>
          </w:p>
          <w:p w14:paraId="1370C921">
            <w:pPr>
              <w:spacing w:line="360"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3）支持PPT自动构建，支持通过列表勾选知识点、新增上传文件、生成教案进行一键PPT生成。知识点列表路径，可查询完整章节及知识点名称，并能够章节为单位收缩，自由勾选知识点，勾选内容支持同步呈现、并进行二次删除和添加，以确定最终目标知识点；支持识别思维导图等轻量化文件，支持一键拖拽或查询文件路径找寻文件；生成教案模式支持直接勾选目标教案。（需提供平台截图盖章证明）</w:t>
            </w:r>
          </w:p>
          <w:p w14:paraId="2E1DF3AB">
            <w:pPr>
              <w:spacing w:line="360" w:lineRule="auto"/>
              <w:rPr>
                <w:rFonts w:ascii="宋体" w:hAnsi="宋体" w:eastAsia="宋体"/>
                <w:szCs w:val="21"/>
                <w:highlight w:val="none"/>
              </w:rPr>
            </w:pPr>
            <w:r>
              <w:rPr>
                <w:rFonts w:ascii="宋体" w:hAnsi="宋体" w:eastAsia="宋体"/>
                <w:szCs w:val="21"/>
                <w:highlight w:val="none"/>
              </w:rPr>
              <w:t>4.本项目课程资源建设需要供应商或提供的教学平台具备</w:t>
            </w:r>
            <w:r>
              <w:rPr>
                <w:rFonts w:hint="eastAsia" w:ascii="宋体" w:hAnsi="宋体" w:eastAsia="宋体"/>
                <w:szCs w:val="21"/>
                <w:highlight w:val="none"/>
              </w:rPr>
              <w:t>教学管理能力</w:t>
            </w:r>
            <w:r>
              <w:rPr>
                <w:rFonts w:ascii="宋体" w:hAnsi="宋体" w:eastAsia="宋体"/>
                <w:szCs w:val="21"/>
                <w:highlight w:val="none"/>
              </w:rPr>
              <w:t>：</w:t>
            </w:r>
          </w:p>
          <w:p w14:paraId="0D4694F3">
            <w:pPr>
              <w:spacing w:line="360"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1）支持树状知识地图查看学生掌握度：基于课程图谱中构建的树状知识地图，查看每一知识点的平均掌握度。支持放大、缩小、全屏知识地图，支持展开收起树状知识节点，支持搜索知识地图中的知识点。（需提供平台截图盖章证明）</w:t>
            </w:r>
          </w:p>
          <w:p w14:paraId="172CB987">
            <w:pPr>
              <w:spacing w:line="360" w:lineRule="auto"/>
              <w:rPr>
                <w:rFonts w:hint="eastAsia"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2）支持发布各类教学任务，教学任务需包含：知识点学习、作业测试、考试、话题讨论、通知公告、探究式学习、资源学习、题库、试卷库、灵动课堂模板、AI研习室等。（需提供平台截图盖章证明）</w:t>
            </w:r>
          </w:p>
        </w:tc>
      </w:tr>
      <w:tr w14:paraId="62B2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0B8FD98">
            <w:pPr>
              <w:jc w:val="center"/>
              <w:rPr>
                <w:rFonts w:hint="eastAsia" w:ascii="宋体" w:hAnsi="宋体" w:eastAsia="宋体"/>
                <w:szCs w:val="21"/>
                <w:highlight w:val="none"/>
                <w:lang w:val="en-US" w:eastAsia="zh-CN"/>
              </w:rPr>
            </w:pPr>
            <w:r>
              <w:rPr>
                <w:rFonts w:hint="eastAsia" w:ascii="宋体" w:hAnsi="宋体" w:eastAsia="宋体"/>
                <w:szCs w:val="21"/>
                <w:highlight w:val="none"/>
              </w:rPr>
              <w:t>1</w:t>
            </w:r>
            <w:r>
              <w:rPr>
                <w:rFonts w:hint="eastAsia" w:ascii="宋体" w:hAnsi="宋体" w:eastAsia="宋体"/>
                <w:szCs w:val="21"/>
                <w:highlight w:val="none"/>
                <w:lang w:val="en-US" w:eastAsia="zh-CN"/>
              </w:rPr>
              <w:t>0</w:t>
            </w:r>
          </w:p>
        </w:tc>
        <w:tc>
          <w:tcPr>
            <w:tcW w:w="1275" w:type="dxa"/>
            <w:vAlign w:val="center"/>
          </w:tcPr>
          <w:p w14:paraId="03E5A08A">
            <w:pPr>
              <w:jc w:val="center"/>
              <w:rPr>
                <w:rFonts w:hint="eastAsia" w:ascii="宋体" w:hAnsi="宋体" w:eastAsia="宋体"/>
                <w:szCs w:val="21"/>
                <w:highlight w:val="none"/>
              </w:rPr>
            </w:pPr>
            <w:r>
              <w:rPr>
                <w:rFonts w:hint="eastAsia" w:ascii="宋体" w:hAnsi="宋体" w:eastAsia="宋体"/>
                <w:szCs w:val="21"/>
                <w:highlight w:val="none"/>
              </w:rPr>
              <w:t>知识产权</w:t>
            </w:r>
          </w:p>
        </w:tc>
        <w:tc>
          <w:tcPr>
            <w:tcW w:w="6033" w:type="dxa"/>
          </w:tcPr>
          <w:p w14:paraId="1B4C8C67">
            <w:pPr>
              <w:spacing w:line="360" w:lineRule="auto"/>
              <w:rPr>
                <w:rFonts w:hint="eastAsia" w:ascii="宋体" w:hAnsi="宋体" w:eastAsia="宋体"/>
                <w:szCs w:val="21"/>
                <w:highlight w:val="none"/>
              </w:rPr>
            </w:pPr>
            <w:r>
              <w:rPr>
                <w:rFonts w:hint="eastAsia" w:ascii="宋体" w:hAnsi="宋体" w:eastAsia="宋体"/>
                <w:szCs w:val="21"/>
                <w:highlight w:val="none"/>
              </w:rPr>
              <w:t>最终建设完成的课程版权及相应权益归属采购人。未经采购人许可，服务提供商不得以任何形式侵犯其所有权。否则，采购人有权依法追究其法律责任，并要求服务提供商赔偿因此造成的甲方损失</w:t>
            </w:r>
            <w:r>
              <w:rPr>
                <w:rFonts w:ascii="宋体" w:hAnsi="宋体" w:eastAsia="宋体"/>
                <w:szCs w:val="21"/>
                <w:highlight w:val="none"/>
              </w:rPr>
              <w:t>(包括但不限于物质损失、名誉损失)。</w:t>
            </w:r>
          </w:p>
        </w:tc>
      </w:tr>
      <w:tr w14:paraId="0DF6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96E63EF">
            <w:pPr>
              <w:jc w:val="center"/>
              <w:rPr>
                <w:rFonts w:hint="eastAsia" w:ascii="宋体" w:hAnsi="宋体" w:eastAsia="宋体"/>
                <w:szCs w:val="21"/>
                <w:highlight w:val="none"/>
                <w:lang w:val="en-US" w:eastAsia="zh-CN"/>
              </w:rPr>
            </w:pPr>
            <w:r>
              <w:rPr>
                <w:rFonts w:hint="eastAsia" w:ascii="宋体" w:hAnsi="宋体" w:eastAsia="宋体"/>
                <w:szCs w:val="21"/>
                <w:highlight w:val="none"/>
              </w:rPr>
              <w:t>1</w:t>
            </w:r>
            <w:r>
              <w:rPr>
                <w:rFonts w:hint="eastAsia" w:ascii="宋体" w:hAnsi="宋体" w:eastAsia="宋体"/>
                <w:szCs w:val="21"/>
                <w:highlight w:val="none"/>
                <w:lang w:val="en-US" w:eastAsia="zh-CN"/>
              </w:rPr>
              <w:t>1</w:t>
            </w:r>
          </w:p>
        </w:tc>
        <w:tc>
          <w:tcPr>
            <w:tcW w:w="1275" w:type="dxa"/>
            <w:vAlign w:val="center"/>
          </w:tcPr>
          <w:p w14:paraId="3AFC917B">
            <w:pPr>
              <w:jc w:val="center"/>
              <w:rPr>
                <w:rFonts w:hint="eastAsia" w:ascii="宋体" w:hAnsi="宋体" w:eastAsia="宋体"/>
                <w:szCs w:val="21"/>
                <w:highlight w:val="none"/>
              </w:rPr>
            </w:pPr>
            <w:r>
              <w:rPr>
                <w:rFonts w:hint="eastAsia" w:ascii="宋体" w:hAnsi="宋体" w:eastAsia="宋体"/>
                <w:szCs w:val="21"/>
                <w:highlight w:val="none"/>
              </w:rPr>
              <w:t>质保服务</w:t>
            </w:r>
          </w:p>
        </w:tc>
        <w:tc>
          <w:tcPr>
            <w:tcW w:w="6033" w:type="dxa"/>
          </w:tcPr>
          <w:p w14:paraId="39891AAF">
            <w:pPr>
              <w:spacing w:line="360" w:lineRule="auto"/>
              <w:rPr>
                <w:rFonts w:ascii="宋体" w:hAnsi="宋体" w:eastAsia="宋体"/>
                <w:szCs w:val="21"/>
                <w:highlight w:val="none"/>
              </w:rPr>
            </w:pPr>
            <w:r>
              <w:rPr>
                <w:rFonts w:hint="eastAsia" w:ascii="宋体" w:hAnsi="宋体" w:eastAsia="宋体"/>
                <w:szCs w:val="21"/>
                <w:highlight w:val="none"/>
              </w:rPr>
              <w:t>1</w:t>
            </w:r>
            <w:r>
              <w:rPr>
                <w:rFonts w:ascii="宋体" w:hAnsi="宋体" w:eastAsia="宋体"/>
                <w:szCs w:val="21"/>
                <w:highlight w:val="none"/>
              </w:rPr>
              <w:t>.</w:t>
            </w:r>
            <w:r>
              <w:rPr>
                <w:rFonts w:hint="eastAsia" w:ascii="宋体" w:hAnsi="宋体" w:eastAsia="宋体"/>
                <w:szCs w:val="21"/>
                <w:highlight w:val="none"/>
              </w:rPr>
              <w:t>质保期：三年，质保期自验收合格之日起算</w:t>
            </w:r>
          </w:p>
          <w:p w14:paraId="62AE192C">
            <w:pPr>
              <w:spacing w:line="360" w:lineRule="auto"/>
              <w:rPr>
                <w:rFonts w:ascii="宋体" w:hAnsi="宋体" w:eastAsia="宋体"/>
                <w:szCs w:val="21"/>
                <w:highlight w:val="none"/>
              </w:rPr>
            </w:pPr>
            <w:r>
              <w:rPr>
                <w:rFonts w:hint="eastAsia" w:ascii="宋体" w:hAnsi="宋体" w:eastAsia="宋体"/>
                <w:szCs w:val="21"/>
                <w:highlight w:val="none"/>
              </w:rPr>
              <w:t>2</w:t>
            </w:r>
            <w:r>
              <w:rPr>
                <w:rFonts w:ascii="宋体" w:hAnsi="宋体" w:eastAsia="宋体"/>
                <w:szCs w:val="21"/>
                <w:highlight w:val="none"/>
              </w:rPr>
              <w:t>.</w:t>
            </w:r>
            <w:r>
              <w:rPr>
                <w:rFonts w:hint="eastAsia" w:ascii="宋体" w:hAnsi="宋体" w:eastAsia="宋体"/>
                <w:szCs w:val="21"/>
                <w:highlight w:val="none"/>
              </w:rPr>
              <w:t>课程建成后，供应商需提供不少于</w:t>
            </w:r>
            <w:r>
              <w:rPr>
                <w:rFonts w:hint="eastAsia" w:ascii="宋体" w:hAnsi="宋体" w:eastAsia="宋体"/>
                <w:szCs w:val="21"/>
                <w:highlight w:val="none"/>
                <w:lang w:val="en-US" w:eastAsia="zh-CN"/>
              </w:rPr>
              <w:t>5</w:t>
            </w:r>
            <w:r>
              <w:rPr>
                <w:rFonts w:ascii="宋体" w:hAnsi="宋体" w:eastAsia="宋体"/>
                <w:szCs w:val="21"/>
                <w:highlight w:val="none"/>
              </w:rPr>
              <w:t>年的上线运行服务，供应商需提供中国大学慕课、智慧树、学银在线、智慧职教等在线精品课程平台至少其中之一的免费上线服务，以使得制作课程能够开放推广运行，并保证课程在平台上正常运营。运营期间应无条件免费提供课程教学运行数据，并为学校申请参与各级在线精品课程评选提供数据支持和保障。</w:t>
            </w:r>
          </w:p>
          <w:p w14:paraId="58DD8F1F">
            <w:pPr>
              <w:spacing w:line="360" w:lineRule="auto"/>
              <w:rPr>
                <w:rFonts w:ascii="宋体" w:hAnsi="宋体" w:eastAsia="宋体"/>
                <w:szCs w:val="21"/>
                <w:highlight w:val="none"/>
              </w:rPr>
            </w:pPr>
            <w:r>
              <w:rPr>
                <w:rFonts w:ascii="宋体" w:hAnsi="宋体" w:eastAsia="宋体"/>
                <w:szCs w:val="21"/>
                <w:highlight w:val="none"/>
              </w:rPr>
              <w:t>3.</w:t>
            </w:r>
            <w:r>
              <w:rPr>
                <w:rFonts w:hint="eastAsia" w:ascii="宋体" w:hAnsi="宋体" w:eastAsia="宋体"/>
                <w:szCs w:val="21"/>
                <w:highlight w:val="none"/>
              </w:rPr>
              <w:t>质保期内提供系统的培训服务，项目完成后要确保课程的正常运行，能完全满足用户的需求；在项目实施过程中及售后服务期内，供应商需承诺指定专人负责与用户保持长期的联系与服务。</w:t>
            </w:r>
          </w:p>
          <w:p w14:paraId="0665E45E">
            <w:pPr>
              <w:spacing w:line="360" w:lineRule="auto"/>
              <w:rPr>
                <w:rFonts w:hint="eastAsia" w:ascii="宋体" w:hAnsi="宋体" w:eastAsia="宋体"/>
                <w:szCs w:val="21"/>
                <w:highlight w:val="none"/>
              </w:rPr>
            </w:pPr>
            <w:r>
              <w:rPr>
                <w:rFonts w:ascii="宋体" w:hAnsi="宋体" w:eastAsia="宋体"/>
                <w:szCs w:val="21"/>
                <w:highlight w:val="none"/>
              </w:rPr>
              <w:t>4.</w:t>
            </w:r>
            <w:r>
              <w:rPr>
                <w:rFonts w:hint="eastAsia" w:ascii="宋体" w:hAnsi="宋体" w:eastAsia="宋体"/>
                <w:szCs w:val="21"/>
                <w:highlight w:val="none"/>
              </w:rPr>
              <w:t>课程上线运行</w:t>
            </w:r>
            <w:r>
              <w:rPr>
                <w:rFonts w:ascii="宋体" w:hAnsi="宋体" w:eastAsia="宋体"/>
                <w:szCs w:val="21"/>
                <w:highlight w:val="none"/>
              </w:rPr>
              <w:t>2年内，免费提供10%已交付课程工作量的更新，课程上线运行后2年后且质保期内，制作方需保证提供必要的修改服务。当修改量不超过原工作量的5%，且修改内容为课程封面图片、个别画面调整、个别视频片段的编辑修改、少量教学资源美化、课程章节调整等时，制作方提供免费修改</w:t>
            </w:r>
          </w:p>
        </w:tc>
      </w:tr>
      <w:tr w14:paraId="7B05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tcPr>
          <w:p w14:paraId="1A2BCD21">
            <w:pPr>
              <w:pStyle w:val="2"/>
              <w:numPr>
                <w:ilvl w:val="0"/>
                <w:numId w:val="0"/>
              </w:numPr>
              <w:ind w:left="420" w:leftChars="0"/>
              <w:rPr>
                <w:rFonts w:hint="eastAsia"/>
                <w:highlight w:val="none"/>
              </w:rPr>
            </w:pPr>
          </w:p>
        </w:tc>
      </w:tr>
    </w:tbl>
    <w:p w14:paraId="7D44F646">
      <w:pPr>
        <w:rPr>
          <w:rFonts w:hint="eastAsia" w:ascii="宋体" w:hAnsi="宋体" w:eastAsia="宋体"/>
          <w:szCs w:val="21"/>
          <w:highlight w:val="none"/>
        </w:rPr>
      </w:pPr>
    </w:p>
    <w:p w14:paraId="7C0B1A03">
      <w:pPr>
        <w:rPr>
          <w:rFonts w:hint="eastAsia" w:ascii="宋体" w:hAnsi="宋体" w:eastAsia="宋体"/>
          <w:szCs w:val="21"/>
          <w:highlight w:val="none"/>
        </w:rPr>
      </w:pPr>
    </w:p>
    <w:p w14:paraId="5835ED89">
      <w:pPr>
        <w:rPr>
          <w:rFonts w:hint="eastAsia" w:ascii="宋体" w:hAnsi="宋体" w:eastAsia="宋体"/>
          <w:szCs w:val="21"/>
          <w:highlight w:val="none"/>
        </w:rPr>
      </w:pPr>
    </w:p>
    <w:p w14:paraId="7773F075">
      <w:pPr>
        <w:rPr>
          <w:rFonts w:hint="eastAsia" w:ascii="宋体" w:hAnsi="宋体" w:eastAsia="宋体"/>
          <w:szCs w:val="21"/>
          <w:highlight w:val="none"/>
        </w:rPr>
      </w:pPr>
    </w:p>
    <w:p w14:paraId="391327DB">
      <w:pPr>
        <w:rPr>
          <w:rFonts w:hint="eastAsia" w:ascii="宋体" w:hAnsi="宋体" w:eastAsia="宋体"/>
          <w:szCs w:val="21"/>
          <w:highlight w:val="none"/>
        </w:rPr>
      </w:pPr>
    </w:p>
    <w:p w14:paraId="0A6CC07C">
      <w:pPr>
        <w:rPr>
          <w:rFonts w:hint="eastAsia" w:ascii="宋体" w:hAnsi="宋体" w:eastAsia="宋体"/>
          <w:szCs w:val="21"/>
          <w:highlight w:val="none"/>
        </w:rPr>
      </w:pPr>
    </w:p>
    <w:p w14:paraId="410E9CA7">
      <w:pPr>
        <w:rPr>
          <w:rFonts w:hint="eastAsia" w:ascii="宋体" w:hAnsi="宋体" w:eastAsia="宋体"/>
          <w:szCs w:val="21"/>
          <w:highlight w:val="none"/>
        </w:rPr>
      </w:pPr>
    </w:p>
    <w:p w14:paraId="350FAB16">
      <w:pPr>
        <w:rPr>
          <w:rFonts w:hint="eastAsia" w:ascii="宋体" w:hAnsi="宋体" w:eastAsia="宋体"/>
          <w:szCs w:val="21"/>
          <w:highlight w:val="none"/>
        </w:rPr>
      </w:pPr>
    </w:p>
    <w:p w14:paraId="0A063900">
      <w:pPr>
        <w:rPr>
          <w:rFonts w:hint="eastAsia" w:ascii="宋体" w:hAnsi="宋体" w:eastAsia="宋体"/>
          <w:szCs w:val="21"/>
          <w:highlight w:val="none"/>
        </w:rPr>
      </w:pPr>
    </w:p>
    <w:p w14:paraId="4602E7B5">
      <w:pPr>
        <w:rPr>
          <w:rFonts w:hint="eastAsia" w:ascii="宋体" w:hAnsi="宋体" w:eastAsia="宋体"/>
          <w:szCs w:val="21"/>
          <w:highlight w:val="none"/>
        </w:rPr>
      </w:pPr>
    </w:p>
    <w:p w14:paraId="67244BBC">
      <w:pPr>
        <w:rPr>
          <w:rFonts w:hint="eastAsia" w:ascii="宋体" w:hAnsi="宋体" w:eastAsia="宋体"/>
          <w:szCs w:val="21"/>
          <w:highlight w:val="none"/>
        </w:rPr>
      </w:pPr>
    </w:p>
    <w:p w14:paraId="1B13CCD8">
      <w:pPr>
        <w:rPr>
          <w:rFonts w:hint="eastAsia" w:ascii="宋体" w:hAnsi="宋体" w:eastAsia="宋体"/>
          <w:szCs w:val="21"/>
          <w:highlight w:val="none"/>
        </w:rPr>
      </w:pPr>
    </w:p>
    <w:p w14:paraId="3B989FD3">
      <w:pPr>
        <w:rPr>
          <w:rFonts w:hint="eastAsia" w:ascii="宋体" w:hAnsi="宋体" w:eastAsia="宋体"/>
          <w:szCs w:val="21"/>
          <w:highlight w:val="none"/>
        </w:rPr>
      </w:pPr>
    </w:p>
    <w:p w14:paraId="177A75FB">
      <w:pPr>
        <w:rPr>
          <w:rFonts w:hint="eastAsia" w:ascii="宋体" w:hAnsi="宋体" w:eastAsia="宋体"/>
          <w:szCs w:val="21"/>
          <w:highlight w:val="none"/>
        </w:rPr>
      </w:pPr>
    </w:p>
    <w:p w14:paraId="7579BAA8">
      <w:pPr>
        <w:rPr>
          <w:rFonts w:hint="eastAsia" w:ascii="宋体" w:hAnsi="宋体" w:eastAsia="宋体"/>
          <w:szCs w:val="21"/>
          <w:highlight w:val="none"/>
        </w:rPr>
      </w:pPr>
    </w:p>
    <w:p w14:paraId="030CE543">
      <w:pPr>
        <w:rPr>
          <w:rFonts w:hint="eastAsia" w:ascii="宋体" w:hAnsi="宋体" w:eastAsia="宋体"/>
          <w:szCs w:val="21"/>
          <w:highlight w:val="none"/>
        </w:rPr>
      </w:pPr>
    </w:p>
    <w:p w14:paraId="4BD2390B">
      <w:pPr>
        <w:rPr>
          <w:rFonts w:hint="eastAsia" w:ascii="宋体" w:hAnsi="宋体" w:eastAsia="宋体"/>
          <w:szCs w:val="21"/>
          <w:highlight w:val="none"/>
        </w:rPr>
      </w:pPr>
    </w:p>
    <w:p w14:paraId="2A39A271">
      <w:pPr>
        <w:rPr>
          <w:rFonts w:hint="eastAsia" w:ascii="宋体" w:hAnsi="宋体" w:eastAsia="宋体"/>
          <w:szCs w:val="21"/>
          <w:highlight w:val="none"/>
        </w:rPr>
      </w:pPr>
    </w:p>
    <w:p w14:paraId="2E2FBEA6">
      <w:pPr>
        <w:rPr>
          <w:rFonts w:hint="eastAsia" w:ascii="宋体" w:hAnsi="宋体" w:eastAsia="宋体"/>
          <w:szCs w:val="21"/>
          <w:highlight w:val="none"/>
        </w:rPr>
      </w:pPr>
    </w:p>
    <w:p w14:paraId="5290CC32">
      <w:pPr>
        <w:rPr>
          <w:rFonts w:hint="eastAsia" w:ascii="宋体" w:hAnsi="宋体" w:eastAsia="宋体"/>
          <w:szCs w:val="21"/>
          <w:highlight w:val="none"/>
        </w:rPr>
      </w:pPr>
    </w:p>
    <w:p w14:paraId="44ED3182">
      <w:pPr>
        <w:rPr>
          <w:rFonts w:hint="eastAsia" w:ascii="宋体" w:hAnsi="宋体" w:eastAsia="宋体"/>
          <w:szCs w:val="21"/>
          <w:highlight w:val="none"/>
        </w:rPr>
      </w:pPr>
    </w:p>
    <w:p w14:paraId="07499449">
      <w:pPr>
        <w:rPr>
          <w:rFonts w:hint="eastAsia" w:ascii="宋体" w:hAnsi="宋体" w:eastAsia="宋体"/>
          <w:szCs w:val="21"/>
          <w:highlight w:val="none"/>
        </w:rPr>
      </w:pPr>
    </w:p>
    <w:p w14:paraId="336A59F3">
      <w:pPr>
        <w:rPr>
          <w:rFonts w:hint="eastAsia" w:ascii="宋体" w:hAnsi="宋体" w:eastAsia="宋体"/>
          <w:szCs w:val="21"/>
          <w:highlight w:val="none"/>
        </w:rPr>
      </w:pPr>
    </w:p>
    <w:p w14:paraId="1DF649F2">
      <w:pPr>
        <w:rPr>
          <w:rFonts w:hint="eastAsia" w:ascii="宋体" w:hAnsi="宋体" w:eastAsia="宋体"/>
          <w:szCs w:val="21"/>
          <w:highlight w:val="none"/>
        </w:rPr>
      </w:pPr>
    </w:p>
    <w:p w14:paraId="2B9E97AB">
      <w:pPr>
        <w:rPr>
          <w:rFonts w:hint="eastAsia" w:ascii="宋体" w:hAnsi="宋体" w:eastAsia="宋体"/>
          <w:szCs w:val="21"/>
          <w:highlight w:val="none"/>
        </w:rPr>
      </w:pPr>
    </w:p>
    <w:p w14:paraId="3CB16BFF">
      <w:pPr>
        <w:rPr>
          <w:rFonts w:hint="eastAsia" w:ascii="宋体" w:hAnsi="宋体" w:eastAsia="宋体"/>
          <w:szCs w:val="21"/>
          <w:highlight w:val="none"/>
        </w:rPr>
      </w:pPr>
    </w:p>
    <w:p w14:paraId="67B9D79A">
      <w:pPr>
        <w:rPr>
          <w:rFonts w:hint="eastAsia" w:ascii="宋体" w:hAnsi="宋体" w:eastAsia="宋体"/>
          <w:szCs w:val="21"/>
          <w:highlight w:val="none"/>
        </w:rPr>
      </w:pPr>
    </w:p>
    <w:p w14:paraId="17AA7034">
      <w:pPr>
        <w:rPr>
          <w:rFonts w:hint="eastAsia" w:ascii="宋体" w:hAnsi="宋体" w:eastAsia="宋体"/>
          <w:szCs w:val="21"/>
          <w:highlight w:val="none"/>
        </w:rPr>
      </w:pPr>
    </w:p>
    <w:p w14:paraId="62DF20E6">
      <w:pPr>
        <w:rPr>
          <w:rFonts w:hint="eastAsia" w:ascii="宋体" w:hAnsi="宋体" w:eastAsia="宋体"/>
          <w:szCs w:val="21"/>
          <w:highlight w:val="none"/>
        </w:rPr>
      </w:pPr>
    </w:p>
    <w:p w14:paraId="0D6BD926">
      <w:pPr>
        <w:rPr>
          <w:rFonts w:hint="eastAsia" w:ascii="宋体" w:hAnsi="宋体" w:eastAsia="宋体"/>
          <w:szCs w:val="21"/>
          <w:highlight w:val="none"/>
        </w:rPr>
      </w:pPr>
    </w:p>
    <w:p w14:paraId="30B1C626">
      <w:pPr>
        <w:rPr>
          <w:rFonts w:hint="eastAsia" w:ascii="宋体" w:hAnsi="宋体" w:eastAsia="宋体"/>
          <w:szCs w:val="21"/>
          <w:highlight w:val="none"/>
        </w:rPr>
      </w:pPr>
    </w:p>
    <w:p w14:paraId="242F9D4B">
      <w:pPr>
        <w:rPr>
          <w:rFonts w:hint="eastAsia" w:ascii="宋体" w:hAnsi="宋体" w:eastAsia="宋体"/>
          <w:szCs w:val="21"/>
          <w:highlight w:val="none"/>
        </w:rPr>
      </w:pPr>
    </w:p>
    <w:p w14:paraId="00C6CA5F">
      <w:pPr>
        <w:rPr>
          <w:rFonts w:hint="eastAsia" w:ascii="宋体" w:hAnsi="宋体" w:eastAsia="宋体"/>
          <w:szCs w:val="21"/>
          <w:highlight w:val="none"/>
        </w:rPr>
      </w:pPr>
    </w:p>
    <w:p w14:paraId="06C242C2">
      <w:pPr>
        <w:rPr>
          <w:rFonts w:hint="eastAsia" w:ascii="宋体" w:hAnsi="宋体" w:eastAsia="宋体"/>
          <w:szCs w:val="21"/>
          <w:highlight w:val="none"/>
        </w:rPr>
      </w:pPr>
    </w:p>
    <w:p w14:paraId="15F998FE">
      <w:pPr>
        <w:rPr>
          <w:rFonts w:hint="eastAsia" w:ascii="宋体" w:hAnsi="宋体" w:eastAsia="宋体"/>
          <w:szCs w:val="21"/>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4022FD"/>
    <w:multiLevelType w:val="multilevel"/>
    <w:tmpl w:val="2D4022FD"/>
    <w:lvl w:ilvl="0" w:tentative="0">
      <w:start w:val="1"/>
      <w:numFmt w:val="chineseCountingThousand"/>
      <w:pStyle w:val="21"/>
      <w:suff w:val="nothing"/>
      <w:lvlText w:val="%1、"/>
      <w:lvlJc w:val="left"/>
      <w:pPr>
        <w:ind w:left="0" w:firstLine="403"/>
      </w:pPr>
      <w:rPr>
        <w:rFonts w:hint="eastAsia"/>
      </w:rPr>
    </w:lvl>
    <w:lvl w:ilvl="1" w:tentative="0">
      <w:start w:val="1"/>
      <w:numFmt w:val="chineseCountingThousand"/>
      <w:pStyle w:val="12"/>
      <w:suff w:val="nothing"/>
      <w:lvlText w:val="（%2）"/>
      <w:lvlJc w:val="left"/>
      <w:pPr>
        <w:ind w:left="0" w:firstLine="403"/>
      </w:pPr>
      <w:rPr>
        <w:rFonts w:hint="eastAsia"/>
      </w:rPr>
    </w:lvl>
    <w:lvl w:ilvl="2" w:tentative="0">
      <w:start w:val="1"/>
      <w:numFmt w:val="decimal"/>
      <w:pStyle w:val="16"/>
      <w:suff w:val="nothing"/>
      <w:lvlText w:val="%3."/>
      <w:lvlJc w:val="left"/>
      <w:pPr>
        <w:ind w:left="0" w:firstLine="403"/>
      </w:pPr>
      <w:rPr>
        <w:rFonts w:hint="eastAsia"/>
      </w:rPr>
    </w:lvl>
    <w:lvl w:ilvl="3" w:tentative="0">
      <w:start w:val="1"/>
      <w:numFmt w:val="decimal"/>
      <w:pStyle w:val="17"/>
      <w:lvlText w:val="（%4）"/>
      <w:lvlJc w:val="left"/>
      <w:pPr>
        <w:ind w:left="0" w:firstLine="403"/>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B3"/>
    <w:rsid w:val="000065D5"/>
    <w:rsid w:val="00030F4B"/>
    <w:rsid w:val="00062F69"/>
    <w:rsid w:val="0008479D"/>
    <w:rsid w:val="00085DF5"/>
    <w:rsid w:val="000A101C"/>
    <w:rsid w:val="000E2174"/>
    <w:rsid w:val="000E338D"/>
    <w:rsid w:val="000F2419"/>
    <w:rsid w:val="0010404E"/>
    <w:rsid w:val="0011054A"/>
    <w:rsid w:val="00140045"/>
    <w:rsid w:val="001579A9"/>
    <w:rsid w:val="00163D2F"/>
    <w:rsid w:val="00167DB0"/>
    <w:rsid w:val="0019081C"/>
    <w:rsid w:val="001B2C06"/>
    <w:rsid w:val="001D01E6"/>
    <w:rsid w:val="0020576A"/>
    <w:rsid w:val="002071EF"/>
    <w:rsid w:val="00211FF4"/>
    <w:rsid w:val="002166B3"/>
    <w:rsid w:val="00222C4D"/>
    <w:rsid w:val="00222E59"/>
    <w:rsid w:val="002452AA"/>
    <w:rsid w:val="00294318"/>
    <w:rsid w:val="00297077"/>
    <w:rsid w:val="002A0888"/>
    <w:rsid w:val="002D2878"/>
    <w:rsid w:val="002D3ED6"/>
    <w:rsid w:val="002D497C"/>
    <w:rsid w:val="002F02A6"/>
    <w:rsid w:val="003071CB"/>
    <w:rsid w:val="003133C0"/>
    <w:rsid w:val="003158B5"/>
    <w:rsid w:val="0034737D"/>
    <w:rsid w:val="00356DC4"/>
    <w:rsid w:val="00363BAE"/>
    <w:rsid w:val="0038332B"/>
    <w:rsid w:val="003A6684"/>
    <w:rsid w:val="003C4065"/>
    <w:rsid w:val="003D0D94"/>
    <w:rsid w:val="003E5A72"/>
    <w:rsid w:val="00423854"/>
    <w:rsid w:val="00451A84"/>
    <w:rsid w:val="00455F78"/>
    <w:rsid w:val="004575F6"/>
    <w:rsid w:val="004645DC"/>
    <w:rsid w:val="004B0910"/>
    <w:rsid w:val="004C3CF2"/>
    <w:rsid w:val="004E16BF"/>
    <w:rsid w:val="004E5AC4"/>
    <w:rsid w:val="004F6730"/>
    <w:rsid w:val="00507040"/>
    <w:rsid w:val="00522E9D"/>
    <w:rsid w:val="00546070"/>
    <w:rsid w:val="00566091"/>
    <w:rsid w:val="005A0314"/>
    <w:rsid w:val="005A5C6B"/>
    <w:rsid w:val="005B5748"/>
    <w:rsid w:val="005B6A00"/>
    <w:rsid w:val="005E4CA1"/>
    <w:rsid w:val="0065264C"/>
    <w:rsid w:val="00680087"/>
    <w:rsid w:val="00690BF0"/>
    <w:rsid w:val="006A2805"/>
    <w:rsid w:val="006A2FDB"/>
    <w:rsid w:val="006D1AF7"/>
    <w:rsid w:val="006F376E"/>
    <w:rsid w:val="00713F7D"/>
    <w:rsid w:val="00714DE9"/>
    <w:rsid w:val="007333CB"/>
    <w:rsid w:val="00764390"/>
    <w:rsid w:val="0078587C"/>
    <w:rsid w:val="007B18BF"/>
    <w:rsid w:val="007C0F53"/>
    <w:rsid w:val="007C27EF"/>
    <w:rsid w:val="007D074E"/>
    <w:rsid w:val="007F3872"/>
    <w:rsid w:val="00830FA8"/>
    <w:rsid w:val="00835322"/>
    <w:rsid w:val="008763DD"/>
    <w:rsid w:val="00893BFF"/>
    <w:rsid w:val="008A4511"/>
    <w:rsid w:val="008C3ABE"/>
    <w:rsid w:val="008F0052"/>
    <w:rsid w:val="00933F08"/>
    <w:rsid w:val="009475D5"/>
    <w:rsid w:val="00982D2E"/>
    <w:rsid w:val="009C49CD"/>
    <w:rsid w:val="009E2347"/>
    <w:rsid w:val="00A00583"/>
    <w:rsid w:val="00A00A5D"/>
    <w:rsid w:val="00A105F0"/>
    <w:rsid w:val="00A14FA1"/>
    <w:rsid w:val="00A24EFB"/>
    <w:rsid w:val="00A65589"/>
    <w:rsid w:val="00A80183"/>
    <w:rsid w:val="00AB7006"/>
    <w:rsid w:val="00AD7761"/>
    <w:rsid w:val="00AF1DD6"/>
    <w:rsid w:val="00AF5BE3"/>
    <w:rsid w:val="00B067C0"/>
    <w:rsid w:val="00B215AA"/>
    <w:rsid w:val="00B23BBB"/>
    <w:rsid w:val="00B364FE"/>
    <w:rsid w:val="00B40E62"/>
    <w:rsid w:val="00B53CB7"/>
    <w:rsid w:val="00B65C49"/>
    <w:rsid w:val="00B80D96"/>
    <w:rsid w:val="00BB299A"/>
    <w:rsid w:val="00BC11F9"/>
    <w:rsid w:val="00BC7EDC"/>
    <w:rsid w:val="00BE1539"/>
    <w:rsid w:val="00C05646"/>
    <w:rsid w:val="00C25156"/>
    <w:rsid w:val="00C2668D"/>
    <w:rsid w:val="00C62284"/>
    <w:rsid w:val="00C64AA2"/>
    <w:rsid w:val="00C71A17"/>
    <w:rsid w:val="00C95F2F"/>
    <w:rsid w:val="00CA2B31"/>
    <w:rsid w:val="00CC6DD9"/>
    <w:rsid w:val="00CD52AB"/>
    <w:rsid w:val="00CF120F"/>
    <w:rsid w:val="00D303EB"/>
    <w:rsid w:val="00D6492D"/>
    <w:rsid w:val="00DF0087"/>
    <w:rsid w:val="00E227C8"/>
    <w:rsid w:val="00E22EEE"/>
    <w:rsid w:val="00E23572"/>
    <w:rsid w:val="00E23C01"/>
    <w:rsid w:val="00E36C78"/>
    <w:rsid w:val="00E639B8"/>
    <w:rsid w:val="00E839BA"/>
    <w:rsid w:val="00E933AD"/>
    <w:rsid w:val="00EB5160"/>
    <w:rsid w:val="00EB608F"/>
    <w:rsid w:val="00EE7416"/>
    <w:rsid w:val="00F5275E"/>
    <w:rsid w:val="00F67778"/>
    <w:rsid w:val="00FA7AE8"/>
    <w:rsid w:val="00FB4771"/>
    <w:rsid w:val="00FB6FF8"/>
    <w:rsid w:val="00FE61D1"/>
    <w:rsid w:val="0CDA3C07"/>
    <w:rsid w:val="1FE57382"/>
    <w:rsid w:val="217579E9"/>
    <w:rsid w:val="24F530D1"/>
    <w:rsid w:val="30A15495"/>
    <w:rsid w:val="5D0C05F1"/>
    <w:rsid w:val="65F321E2"/>
    <w:rsid w:val="68737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Chars="200" w:hanging="200" w:hangingChars="200"/>
    </w:pPr>
  </w:style>
  <w:style w:type="paragraph" w:styleId="4">
    <w:name w:val="footer"/>
    <w:basedOn w:val="1"/>
    <w:link w:val="20"/>
    <w:semiHidden/>
    <w:unhideWhenUsed/>
    <w:qFormat/>
    <w:uiPriority w:val="99"/>
    <w:pPr>
      <w:tabs>
        <w:tab w:val="center" w:pos="4153"/>
        <w:tab w:val="right" w:pos="8306"/>
      </w:tabs>
      <w:snapToGrid w:val="0"/>
      <w:jc w:val="left"/>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标题"/>
    <w:basedOn w:val="3"/>
    <w:qFormat/>
    <w:uiPriority w:val="0"/>
    <w:pPr>
      <w:spacing w:before="0" w:after="0" w:line="560" w:lineRule="exact"/>
      <w:jc w:val="center"/>
    </w:pPr>
    <w:rPr>
      <w:rFonts w:ascii="方正小标宋简体" w:hAnsi="方正小标宋简体" w:eastAsia="方正小标宋简体" w:cs="方正小标宋简体"/>
      <w:b w:val="0"/>
      <w:bCs w:val="0"/>
      <w:lang w:bidi="mn-Mong-CN"/>
    </w:rPr>
  </w:style>
  <w:style w:type="character" w:customStyle="1" w:styleId="9">
    <w:name w:val="标题 1 字符"/>
    <w:basedOn w:val="7"/>
    <w:link w:val="3"/>
    <w:qFormat/>
    <w:uiPriority w:val="9"/>
    <w:rPr>
      <w:b/>
      <w:bCs/>
      <w:kern w:val="44"/>
      <w:sz w:val="44"/>
      <w:szCs w:val="44"/>
    </w:rPr>
  </w:style>
  <w:style w:type="paragraph" w:customStyle="1" w:styleId="10">
    <w:name w:val="公文标题二级"/>
    <w:basedOn w:val="1"/>
    <w:link w:val="11"/>
    <w:qFormat/>
    <w:uiPriority w:val="0"/>
    <w:pPr>
      <w:keepNext/>
      <w:keepLines/>
      <w:spacing w:line="560" w:lineRule="exact"/>
      <w:jc w:val="center"/>
      <w:outlineLvl w:val="0"/>
    </w:pPr>
    <w:rPr>
      <w:rFonts w:ascii="楷体_GB2312" w:hAnsi="楷体_GB2312" w:eastAsia="楷体_GB2312" w:cs="楷体_GB2312"/>
      <w:sz w:val="32"/>
      <w:szCs w:val="32"/>
      <w:lang w:bidi="mn-Mong-CN"/>
    </w:rPr>
  </w:style>
  <w:style w:type="character" w:customStyle="1" w:styleId="11">
    <w:name w:val="公文标题二级 字符"/>
    <w:basedOn w:val="7"/>
    <w:link w:val="10"/>
    <w:qFormat/>
    <w:uiPriority w:val="0"/>
    <w:rPr>
      <w:rFonts w:ascii="楷体_GB2312" w:hAnsi="楷体_GB2312" w:eastAsia="楷体_GB2312" w:cs="楷体_GB2312"/>
      <w:sz w:val="32"/>
      <w:szCs w:val="32"/>
      <w:lang w:bidi="mn-Mong-CN"/>
    </w:rPr>
  </w:style>
  <w:style w:type="paragraph" w:customStyle="1" w:styleId="12">
    <w:name w:val="公文二级标题"/>
    <w:basedOn w:val="13"/>
    <w:qFormat/>
    <w:uiPriority w:val="0"/>
    <w:pPr>
      <w:numPr>
        <w:ilvl w:val="1"/>
        <w:numId w:val="1"/>
      </w:numPr>
      <w:spacing w:line="560" w:lineRule="exact"/>
      <w:ind w:firstLine="0" w:firstLineChars="0"/>
    </w:pPr>
    <w:rPr>
      <w:rFonts w:ascii="楷体_GB2312" w:hAnsi="楷体_GB2312" w:eastAsia="楷体_GB2312" w:cs="楷体_GB2312"/>
      <w:sz w:val="32"/>
      <w:szCs w:val="32"/>
      <w:lang w:bidi="mn-Mong-CN"/>
    </w:rPr>
  </w:style>
  <w:style w:type="paragraph" w:styleId="13">
    <w:name w:val="List Paragraph"/>
    <w:basedOn w:val="1"/>
    <w:qFormat/>
    <w:uiPriority w:val="34"/>
    <w:pPr>
      <w:ind w:firstLine="420" w:firstLineChars="200"/>
    </w:pPr>
  </w:style>
  <w:style w:type="paragraph" w:customStyle="1" w:styleId="14">
    <w:name w:val="公文附件"/>
    <w:basedOn w:val="1"/>
    <w:qFormat/>
    <w:uiPriority w:val="0"/>
    <w:rPr>
      <w:rFonts w:ascii="黑体" w:hAnsi="黑体" w:eastAsia="黑体" w:cs="黑体"/>
      <w:sz w:val="32"/>
      <w:szCs w:val="32"/>
      <w:lang w:bidi="mn-Mong-CN"/>
    </w:rPr>
  </w:style>
  <w:style w:type="paragraph" w:customStyle="1" w:styleId="15">
    <w:name w:val="公文正文"/>
    <w:basedOn w:val="1"/>
    <w:qFormat/>
    <w:uiPriority w:val="0"/>
    <w:pPr>
      <w:spacing w:line="560" w:lineRule="exact"/>
      <w:ind w:firstLine="200" w:firstLineChars="200"/>
    </w:pPr>
    <w:rPr>
      <w:rFonts w:ascii="仿宋_GB2312" w:hAnsi="仿宋_GB2312" w:eastAsia="仿宋_GB2312" w:cs="仿宋_GB2312"/>
      <w:sz w:val="32"/>
      <w:szCs w:val="32"/>
      <w:lang w:bidi="mn-Mong-CN"/>
    </w:rPr>
  </w:style>
  <w:style w:type="paragraph" w:customStyle="1" w:styleId="16">
    <w:name w:val="公文三级标题"/>
    <w:basedOn w:val="15"/>
    <w:qFormat/>
    <w:uiPriority w:val="0"/>
    <w:pPr>
      <w:numPr>
        <w:ilvl w:val="2"/>
        <w:numId w:val="1"/>
      </w:numPr>
      <w:ind w:firstLine="0" w:firstLineChars="0"/>
    </w:pPr>
  </w:style>
  <w:style w:type="paragraph" w:customStyle="1" w:styleId="17">
    <w:name w:val="公文四级标题"/>
    <w:basedOn w:val="15"/>
    <w:qFormat/>
    <w:uiPriority w:val="0"/>
    <w:pPr>
      <w:numPr>
        <w:ilvl w:val="3"/>
        <w:numId w:val="1"/>
      </w:numPr>
      <w:ind w:firstLine="0" w:firstLineChars="0"/>
      <w:outlineLvl w:val="3"/>
    </w:pPr>
  </w:style>
  <w:style w:type="paragraph" w:customStyle="1" w:styleId="18">
    <w:name w:val="公文抬头"/>
    <w:basedOn w:val="15"/>
    <w:qFormat/>
    <w:uiPriority w:val="0"/>
    <w:pPr>
      <w:spacing w:before="100" w:beforeLines="100"/>
      <w:ind w:firstLine="0" w:firstLineChars="0"/>
    </w:pPr>
  </w:style>
  <w:style w:type="paragraph" w:customStyle="1" w:styleId="19">
    <w:name w:val="公文页码"/>
    <w:basedOn w:val="4"/>
    <w:qFormat/>
    <w:uiPriority w:val="0"/>
    <w:pPr>
      <w:jc w:val="center"/>
    </w:pPr>
    <w:rPr>
      <w:rFonts w:eastAsia="宋体" w:asciiTheme="minorEastAsia" w:hAnsiTheme="minorEastAsia"/>
      <w:sz w:val="28"/>
      <w:szCs w:val="28"/>
      <w:lang w:bidi="mn-Mong-CN"/>
    </w:rPr>
  </w:style>
  <w:style w:type="character" w:customStyle="1" w:styleId="20">
    <w:name w:val="页脚 字符"/>
    <w:basedOn w:val="7"/>
    <w:link w:val="4"/>
    <w:semiHidden/>
    <w:qFormat/>
    <w:uiPriority w:val="99"/>
    <w:rPr>
      <w:sz w:val="18"/>
      <w:szCs w:val="18"/>
    </w:rPr>
  </w:style>
  <w:style w:type="paragraph" w:customStyle="1" w:styleId="21">
    <w:name w:val="公文一级标题"/>
    <w:basedOn w:val="1"/>
    <w:qFormat/>
    <w:uiPriority w:val="0"/>
    <w:pPr>
      <w:numPr>
        <w:ilvl w:val="0"/>
        <w:numId w:val="1"/>
      </w:numPr>
      <w:spacing w:line="560" w:lineRule="exact"/>
      <w:ind w:firstLine="200" w:firstLineChars="200"/>
    </w:pPr>
    <w:rPr>
      <w:rFonts w:ascii="黑体" w:hAnsi="黑体" w:eastAsia="黑体" w:cs="黑体"/>
      <w:sz w:val="32"/>
      <w:szCs w:val="32"/>
      <w:lang w:bidi="mn-Mong-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3930</Words>
  <Characters>4146</Characters>
  <Lines>31</Lines>
  <Paragraphs>8</Paragraphs>
  <TotalTime>4</TotalTime>
  <ScaleCrop>false</ScaleCrop>
  <LinksUpToDate>false</LinksUpToDate>
  <CharactersWithSpaces>4146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2025-10-12T14:04:00Z</dcterms:created>
  <dc:creator>nan wu</dc:creator>
  <cp:lastModifiedBy>Corsini</cp:lastModifiedBy>
  <dcterms:modified xsi:type="dcterms:W3CDTF">2026-04-27T01:33:59Z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eyJoZGlkIjoiMTVmMWRmY2JmMGZjZjg3ZWRiNmMwMjAwNDM1NGZmZWYiLCJ1c2VySWQiOiI3MzUzMDk0NTAifQ==</vt:lpwstr>
  </property>
  <property fmtid="{D5CDD505-2E9C-101B-9397-08002B2CF9AE}" pid="3" name="KSOProductBuildVer">
    <vt:lpwstr>2052-12.1.0.25865</vt:lpwstr>
  </property>
  <property fmtid="{D5CDD505-2E9C-101B-9397-08002B2CF9AE}" pid="4" name="ICV">
    <vt:lpwstr>C938D38C2B204E168D95C4C2DCE7A9C6_13</vt:lpwstr>
  </property>
</Properties>
</file>